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kern w:val="0"/>
          <w:sz w:val="32"/>
          <w:szCs w:val="32"/>
        </w:rPr>
      </w:pPr>
    </w:p>
    <w:p>
      <w:pPr>
        <w:widowControl/>
        <w:ind w:firstLine="880" w:firstLineChars="200"/>
        <w:jc w:val="center"/>
        <w:rPr>
          <w:rFonts w:ascii="方正小标宋简体" w:eastAsia="方正小标宋简体"/>
          <w:kern w:val="0"/>
          <w:sz w:val="44"/>
          <w:szCs w:val="44"/>
        </w:rPr>
      </w:pPr>
      <w:bookmarkStart w:id="0" w:name="_GoBack"/>
      <w:r>
        <w:rPr>
          <w:rFonts w:hint="eastAsia" w:ascii="方正小标宋简体" w:eastAsia="方正小标宋简体"/>
          <w:kern w:val="0"/>
          <w:sz w:val="44"/>
          <w:szCs w:val="44"/>
        </w:rPr>
        <w:t>云南省精神病医院2023年部门预算编制说明</w:t>
      </w:r>
    </w:p>
    <w:bookmarkEnd w:id="0"/>
    <w:p>
      <w:pPr>
        <w:widowControl/>
        <w:ind w:firstLine="720" w:firstLineChars="200"/>
        <w:jc w:val="center"/>
        <w:rPr>
          <w:rFonts w:ascii="方正小标宋简体" w:eastAsia="方正小标宋简体"/>
          <w:kern w:val="0"/>
          <w:sz w:val="36"/>
          <w:szCs w:val="36"/>
        </w:rPr>
      </w:pP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一、基本职能及主要工作</w:t>
      </w:r>
    </w:p>
    <w:p>
      <w:pPr>
        <w:widowControl/>
        <w:ind w:firstLine="160" w:firstLineChars="50"/>
        <w:jc w:val="left"/>
        <w:rPr>
          <w:rFonts w:ascii="楷体_GB2312" w:eastAsia="楷体_GB2312"/>
          <w:b/>
          <w:kern w:val="0"/>
          <w:sz w:val="32"/>
          <w:szCs w:val="32"/>
        </w:rPr>
      </w:pPr>
      <w:r>
        <w:rPr>
          <w:rFonts w:hint="eastAsia" w:ascii="楷体_GB2312" w:eastAsia="楷体_GB2312"/>
          <w:kern w:val="0"/>
          <w:sz w:val="32"/>
          <w:szCs w:val="32"/>
        </w:rPr>
        <w:t>（一）部门主要职责</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云南省精神病医院建院于1955年</w:t>
      </w:r>
      <w:r>
        <w:rPr>
          <w:rFonts w:hint="eastAsia" w:ascii="楷体_GB2312" w:eastAsia="楷体_GB2312"/>
          <w:kern w:val="0"/>
          <w:sz w:val="32"/>
          <w:szCs w:val="32"/>
        </w:rPr>
        <w:t>，</w:t>
      </w:r>
      <w:r>
        <w:rPr>
          <w:rFonts w:ascii="楷体_GB2312" w:eastAsia="楷体_GB2312"/>
          <w:kern w:val="0"/>
          <w:sz w:val="32"/>
          <w:szCs w:val="32"/>
        </w:rPr>
        <w:t>经过65年的建设和发展,现已成为一所集医疗、教学、科研、预防、康复和心理危机干预为一体的三级甲等精神病专科医院，是云南省精神卫生防治中心，昆明医科大学附属精神卫生中心，国家级精神科住院医师规范化培训基地和云南省精神科护士专科培训基地，是省市职工、城乡居民医疗保险、省市离休干部、异地就医（全省异地就医一卡通）定点医院。</w:t>
      </w:r>
    </w:p>
    <w:p>
      <w:pPr>
        <w:widowControl/>
        <w:ind w:firstLine="160" w:firstLineChars="50"/>
        <w:jc w:val="left"/>
        <w:rPr>
          <w:rFonts w:ascii="楷体_GB2312" w:eastAsia="楷体_GB2312"/>
          <w:kern w:val="0"/>
          <w:sz w:val="32"/>
          <w:szCs w:val="32"/>
        </w:rPr>
      </w:pPr>
      <w:r>
        <w:rPr>
          <w:rFonts w:hint="eastAsia" w:ascii="楷体_GB2312" w:eastAsia="楷体_GB2312"/>
          <w:kern w:val="0"/>
          <w:sz w:val="32"/>
          <w:szCs w:val="32"/>
        </w:rPr>
        <w:t>（二）机构设置情况</w:t>
      </w:r>
    </w:p>
    <w:p>
      <w:pPr>
        <w:widowControl/>
        <w:ind w:firstLine="640" w:firstLineChars="200"/>
        <w:jc w:val="left"/>
        <w:rPr>
          <w:rFonts w:ascii="楷体_GB2312" w:eastAsia="楷体_GB2312"/>
          <w:kern w:val="0"/>
          <w:sz w:val="32"/>
          <w:szCs w:val="32"/>
        </w:rPr>
      </w:pPr>
      <w:r>
        <w:rPr>
          <w:rFonts w:hint="eastAsia" w:eastAsia="仿宋_GB2312"/>
          <w:kern w:val="0"/>
          <w:sz w:val="32"/>
          <w:szCs w:val="32"/>
        </w:rPr>
        <w:t>我部门共设置20个内设机构，包括：</w:t>
      </w:r>
      <w:r>
        <w:rPr>
          <w:rFonts w:hint="eastAsia" w:ascii="楷体_GB2312" w:eastAsia="楷体_GB2312"/>
          <w:kern w:val="0"/>
          <w:sz w:val="32"/>
          <w:szCs w:val="32"/>
        </w:rPr>
        <w:t>党委办公室、医院办公室、医务部、科教部、护理部、纪检监察室、医疗质量控制管理办、公室、财务科、医保办、人力资源部、公共卫生科、控感办、采购办、信息办、设备科、总务科、保卫科、老干科、宣传科、绩效办。</w:t>
      </w:r>
    </w:p>
    <w:p>
      <w:pPr>
        <w:widowControl/>
        <w:ind w:firstLine="640" w:firstLineChars="200"/>
        <w:jc w:val="left"/>
        <w:rPr>
          <w:rFonts w:eastAsia="仿宋_GB2312"/>
          <w:kern w:val="0"/>
          <w:sz w:val="32"/>
          <w:szCs w:val="32"/>
        </w:rPr>
      </w:pPr>
      <w:r>
        <w:rPr>
          <w:rFonts w:hint="eastAsia" w:ascii="楷体_GB2312" w:eastAsia="楷体_GB2312"/>
          <w:kern w:val="0"/>
          <w:sz w:val="32"/>
          <w:szCs w:val="32"/>
        </w:rPr>
        <w:t>我部门无所属单位。</w:t>
      </w:r>
    </w:p>
    <w:p>
      <w:pPr>
        <w:widowControl/>
        <w:jc w:val="left"/>
        <w:rPr>
          <w:rFonts w:eastAsia="仿宋_GB2312"/>
          <w:kern w:val="0"/>
          <w:sz w:val="32"/>
          <w:szCs w:val="32"/>
        </w:rPr>
      </w:pPr>
      <w:r>
        <w:rPr>
          <w:rFonts w:ascii="楷体_GB2312" w:eastAsia="楷体_GB2312"/>
          <w:kern w:val="0"/>
          <w:sz w:val="32"/>
          <w:szCs w:val="32"/>
        </w:rPr>
        <w:t>（</w:t>
      </w:r>
      <w:r>
        <w:rPr>
          <w:rFonts w:hint="eastAsia" w:ascii="楷体_GB2312" w:eastAsia="楷体_GB2312"/>
          <w:kern w:val="0"/>
          <w:sz w:val="32"/>
          <w:szCs w:val="32"/>
        </w:rPr>
        <w:t>三</w:t>
      </w:r>
      <w:r>
        <w:rPr>
          <w:rFonts w:ascii="楷体_GB2312" w:eastAsia="楷体_GB2312"/>
          <w:kern w:val="0"/>
          <w:sz w:val="32"/>
          <w:szCs w:val="32"/>
        </w:rPr>
        <w:t>）重点工作概述</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医院编制床位900张，实际开放床位1160张</w:t>
      </w:r>
      <w:r>
        <w:rPr>
          <w:rFonts w:hint="eastAsia" w:ascii="楷体_GB2312" w:eastAsia="楷体_GB2312"/>
          <w:kern w:val="0"/>
          <w:sz w:val="32"/>
          <w:szCs w:val="32"/>
        </w:rPr>
        <w:t>。医院在职职工</w:t>
      </w:r>
      <w:r>
        <w:rPr>
          <w:rFonts w:ascii="楷体_GB2312" w:eastAsia="楷体_GB2312"/>
          <w:kern w:val="0"/>
          <w:sz w:val="32"/>
          <w:szCs w:val="32"/>
        </w:rPr>
        <w:t>共有</w:t>
      </w:r>
      <w:r>
        <w:rPr>
          <w:rFonts w:hint="eastAsia" w:ascii="楷体_GB2312" w:eastAsia="楷体_GB2312"/>
          <w:kern w:val="0"/>
          <w:sz w:val="32"/>
          <w:szCs w:val="32"/>
        </w:rPr>
        <w:t>541</w:t>
      </w:r>
      <w:r>
        <w:rPr>
          <w:rFonts w:ascii="楷体_GB2312" w:eastAsia="楷体_GB2312"/>
          <w:kern w:val="0"/>
          <w:sz w:val="32"/>
          <w:szCs w:val="32"/>
        </w:rPr>
        <w:t>人，其中正高级职称</w:t>
      </w:r>
      <w:r>
        <w:rPr>
          <w:rFonts w:hint="eastAsia" w:ascii="楷体_GB2312" w:eastAsia="楷体_GB2312"/>
          <w:kern w:val="0"/>
          <w:sz w:val="32"/>
          <w:szCs w:val="32"/>
        </w:rPr>
        <w:t>22</w:t>
      </w:r>
      <w:r>
        <w:rPr>
          <w:rFonts w:ascii="楷体_GB2312" w:eastAsia="楷体_GB2312"/>
          <w:kern w:val="0"/>
          <w:sz w:val="32"/>
          <w:szCs w:val="32"/>
        </w:rPr>
        <w:t>人，副高级职称</w:t>
      </w:r>
      <w:r>
        <w:rPr>
          <w:rFonts w:hint="eastAsia" w:ascii="楷体_GB2312" w:eastAsia="楷体_GB2312"/>
          <w:kern w:val="0"/>
          <w:sz w:val="32"/>
          <w:szCs w:val="32"/>
        </w:rPr>
        <w:t>54</w:t>
      </w:r>
      <w:r>
        <w:rPr>
          <w:rFonts w:ascii="楷体_GB2312" w:eastAsia="楷体_GB2312"/>
          <w:kern w:val="0"/>
          <w:sz w:val="32"/>
          <w:szCs w:val="32"/>
        </w:rPr>
        <w:t>人，中级职称</w:t>
      </w:r>
      <w:r>
        <w:rPr>
          <w:rFonts w:hint="eastAsia" w:ascii="楷体_GB2312" w:eastAsia="楷体_GB2312"/>
          <w:kern w:val="0"/>
          <w:sz w:val="32"/>
          <w:szCs w:val="32"/>
        </w:rPr>
        <w:t>148</w:t>
      </w:r>
      <w:r>
        <w:rPr>
          <w:rFonts w:ascii="楷体_GB2312" w:eastAsia="楷体_GB2312"/>
          <w:kern w:val="0"/>
          <w:sz w:val="32"/>
          <w:szCs w:val="32"/>
        </w:rPr>
        <w:t>人。有昆明医科大学硕士生导师8人，兼职教授15人，副教授30人，讲师40人；有云南省医学后备人才培养对象1人，市级学术技术后备人选1人，市级“百工程”知名专家4人，“千工程”学科带头人8人、后备人选33人；有省级临床重点专科1个，市级临床重点专科2个，市级内设研究中心1个、技术中心14个。开设的精神科二级分科有：老年科、精神康复科、临床心理科、儿童青少年科、中西医结合科、女性精神医学科、酒与药物依赖治疗科、睡眠医学中心、门急诊部、司法鉴定中心和国家级美沙酮维持治疗门诊等。近五年来医院获得国家自然科学基金立项3项，省市级科研立项30项，发表专业论文200多篇，其中SCI论文10余篇，核心期刊论文20余篇，出版专著7部，获得专利7项，国家计算机软著作权1项；举办继续医学教育项目国家级22项、省级7项、市级57项。</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云南省心理援助热线”、“昆明市心理危机研究与干预中心”、“云南省精神病医院司法鉴定中心”挂靠我院。“云南省心理卫生协会”、“云南省医院协会精神病医院管理专业委员会”、“云南省康复医学会精神康复专业委员会”、“云南省精神医学基金组织”等多个学术团体及《云南精神医学》杂志编辑部设在我院。</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按照市卫健委要求完成了</w:t>
      </w:r>
      <w:r>
        <w:rPr>
          <w:rFonts w:hint="eastAsia" w:ascii="楷体_GB2312" w:eastAsia="楷体_GB2312"/>
          <w:kern w:val="0"/>
          <w:sz w:val="32"/>
          <w:szCs w:val="32"/>
        </w:rPr>
        <w:t>《2022年度云南省精神病医院业务工作目标责任制考评指标》考核</w:t>
      </w:r>
      <w:r>
        <w:rPr>
          <w:rFonts w:ascii="楷体_GB2312" w:eastAsia="楷体_GB2312"/>
          <w:kern w:val="0"/>
          <w:sz w:val="32"/>
          <w:szCs w:val="32"/>
        </w:rPr>
        <w:t>。医院按时按量完成市委、市政府和昆明市卫健委下达的年度工作考核目标。202</w:t>
      </w:r>
      <w:r>
        <w:rPr>
          <w:rFonts w:hint="eastAsia" w:ascii="楷体_GB2312" w:eastAsia="楷体_GB2312"/>
          <w:kern w:val="0"/>
          <w:sz w:val="32"/>
          <w:szCs w:val="32"/>
        </w:rPr>
        <w:t>2</w:t>
      </w:r>
      <w:r>
        <w:rPr>
          <w:rFonts w:ascii="楷体_GB2312" w:eastAsia="楷体_GB2312"/>
          <w:kern w:val="0"/>
          <w:sz w:val="32"/>
          <w:szCs w:val="32"/>
        </w:rPr>
        <w:t>年医院与全院各科室签订了《202</w:t>
      </w:r>
      <w:r>
        <w:rPr>
          <w:rFonts w:hint="eastAsia" w:ascii="楷体_GB2312" w:eastAsia="楷体_GB2312"/>
          <w:kern w:val="0"/>
          <w:sz w:val="32"/>
          <w:szCs w:val="32"/>
        </w:rPr>
        <w:t>2</w:t>
      </w:r>
      <w:r>
        <w:rPr>
          <w:rFonts w:ascii="楷体_GB2312" w:eastAsia="楷体_GB2312"/>
          <w:kern w:val="0"/>
          <w:sz w:val="32"/>
          <w:szCs w:val="32"/>
        </w:rPr>
        <w:t>年度行政目标管理责任书》，医院将各项指标分到各科室责任书中，并定期对责任科室进行检查督促，各项指标均完成良好。</w:t>
      </w: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二、预算单位基本情况</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我部门编制</w:t>
      </w:r>
      <w:r>
        <w:rPr>
          <w:rFonts w:hint="eastAsia" w:ascii="楷体_GB2312" w:eastAsia="楷体_GB2312"/>
          <w:kern w:val="0"/>
          <w:sz w:val="32"/>
          <w:szCs w:val="32"/>
        </w:rPr>
        <w:t>2023</w:t>
      </w:r>
      <w:r>
        <w:rPr>
          <w:rFonts w:ascii="楷体_GB2312" w:eastAsia="楷体_GB2312"/>
          <w:kern w:val="0"/>
          <w:sz w:val="32"/>
          <w:szCs w:val="32"/>
        </w:rPr>
        <w:t>年部门预算单位共</w:t>
      </w:r>
      <w:r>
        <w:rPr>
          <w:rFonts w:hint="eastAsia" w:ascii="楷体_GB2312" w:eastAsia="楷体_GB2312"/>
          <w:kern w:val="0"/>
          <w:sz w:val="32"/>
          <w:szCs w:val="32"/>
        </w:rPr>
        <w:t>1</w:t>
      </w:r>
      <w:r>
        <w:rPr>
          <w:rFonts w:ascii="楷体_GB2312" w:eastAsia="楷体_GB2312"/>
          <w:kern w:val="0"/>
          <w:sz w:val="32"/>
          <w:szCs w:val="32"/>
        </w:rPr>
        <w:t>个。其中：财政</w:t>
      </w:r>
      <w:r>
        <w:rPr>
          <w:rFonts w:hint="eastAsia" w:ascii="楷体_GB2312" w:eastAsia="楷体_GB2312"/>
          <w:kern w:val="0"/>
          <w:sz w:val="32"/>
          <w:szCs w:val="32"/>
        </w:rPr>
        <w:t>全额</w:t>
      </w:r>
      <w:r>
        <w:rPr>
          <w:rFonts w:ascii="楷体_GB2312" w:eastAsia="楷体_GB2312"/>
          <w:kern w:val="0"/>
          <w:sz w:val="32"/>
          <w:szCs w:val="32"/>
        </w:rPr>
        <w:t>供给单位</w:t>
      </w:r>
      <w:r>
        <w:rPr>
          <w:rFonts w:hint="eastAsia" w:ascii="楷体_GB2312" w:eastAsia="楷体_GB2312"/>
          <w:kern w:val="0"/>
          <w:sz w:val="32"/>
          <w:szCs w:val="32"/>
        </w:rPr>
        <w:t>0</w:t>
      </w:r>
      <w:r>
        <w:rPr>
          <w:rFonts w:ascii="楷体_GB2312" w:eastAsia="楷体_GB2312"/>
          <w:kern w:val="0"/>
          <w:sz w:val="32"/>
          <w:szCs w:val="32"/>
        </w:rPr>
        <w:t>个；</w:t>
      </w:r>
      <w:r>
        <w:rPr>
          <w:rFonts w:hint="eastAsia" w:ascii="楷体_GB2312" w:eastAsia="楷体_GB2312"/>
          <w:kern w:val="0"/>
          <w:sz w:val="32"/>
          <w:szCs w:val="32"/>
        </w:rPr>
        <w:t>差额</w:t>
      </w:r>
      <w:r>
        <w:rPr>
          <w:rFonts w:ascii="楷体_GB2312" w:eastAsia="楷体_GB2312"/>
          <w:kern w:val="0"/>
          <w:sz w:val="32"/>
          <w:szCs w:val="32"/>
        </w:rPr>
        <w:t>供给单位</w:t>
      </w:r>
      <w:r>
        <w:rPr>
          <w:rFonts w:hint="eastAsia" w:ascii="楷体_GB2312" w:eastAsia="楷体_GB2312"/>
          <w:kern w:val="0"/>
          <w:sz w:val="32"/>
          <w:szCs w:val="32"/>
        </w:rPr>
        <w:t>1</w:t>
      </w:r>
      <w:r>
        <w:rPr>
          <w:rFonts w:ascii="楷体_GB2312" w:eastAsia="楷体_GB2312"/>
          <w:kern w:val="0"/>
          <w:sz w:val="32"/>
          <w:szCs w:val="32"/>
        </w:rPr>
        <w:t>个；</w:t>
      </w:r>
      <w:r>
        <w:rPr>
          <w:rFonts w:hint="eastAsia" w:ascii="楷体_GB2312" w:eastAsia="楷体_GB2312"/>
          <w:kern w:val="0"/>
          <w:sz w:val="32"/>
          <w:szCs w:val="32"/>
        </w:rPr>
        <w:t>定额补助</w:t>
      </w:r>
      <w:r>
        <w:rPr>
          <w:rFonts w:ascii="楷体_GB2312" w:eastAsia="楷体_GB2312"/>
          <w:kern w:val="0"/>
          <w:sz w:val="32"/>
          <w:szCs w:val="32"/>
        </w:rPr>
        <w:t>单位</w:t>
      </w:r>
      <w:r>
        <w:rPr>
          <w:rFonts w:hint="eastAsia" w:ascii="楷体_GB2312" w:eastAsia="楷体_GB2312"/>
          <w:kern w:val="0"/>
          <w:sz w:val="32"/>
          <w:szCs w:val="32"/>
        </w:rPr>
        <w:t>0</w:t>
      </w:r>
      <w:r>
        <w:rPr>
          <w:rFonts w:ascii="楷体_GB2312" w:eastAsia="楷体_GB2312"/>
          <w:kern w:val="0"/>
          <w:sz w:val="32"/>
          <w:szCs w:val="32"/>
        </w:rPr>
        <w:t>个；自收自支单位</w:t>
      </w:r>
      <w:r>
        <w:rPr>
          <w:rFonts w:hint="eastAsia" w:ascii="楷体_GB2312" w:eastAsia="楷体_GB2312"/>
          <w:kern w:val="0"/>
          <w:sz w:val="32"/>
          <w:szCs w:val="32"/>
        </w:rPr>
        <w:t>0</w:t>
      </w:r>
      <w:r>
        <w:rPr>
          <w:rFonts w:ascii="楷体_GB2312" w:eastAsia="楷体_GB2312"/>
          <w:kern w:val="0"/>
          <w:sz w:val="32"/>
          <w:szCs w:val="32"/>
        </w:rPr>
        <w:t>个。财政</w:t>
      </w:r>
      <w:r>
        <w:rPr>
          <w:rFonts w:hint="eastAsia" w:ascii="楷体_GB2312" w:eastAsia="楷体_GB2312"/>
          <w:kern w:val="0"/>
          <w:sz w:val="32"/>
          <w:szCs w:val="32"/>
        </w:rPr>
        <w:t>全额</w:t>
      </w:r>
      <w:r>
        <w:rPr>
          <w:rFonts w:ascii="楷体_GB2312" w:eastAsia="楷体_GB2312"/>
          <w:kern w:val="0"/>
          <w:sz w:val="32"/>
          <w:szCs w:val="32"/>
        </w:rPr>
        <w:t>供给单位中行政单位</w:t>
      </w:r>
      <w:r>
        <w:rPr>
          <w:rFonts w:hint="eastAsia" w:ascii="楷体_GB2312" w:eastAsia="楷体_GB2312"/>
          <w:kern w:val="0"/>
          <w:sz w:val="32"/>
          <w:szCs w:val="32"/>
        </w:rPr>
        <w:t>0</w:t>
      </w:r>
      <w:r>
        <w:rPr>
          <w:rFonts w:ascii="楷体_GB2312" w:eastAsia="楷体_GB2312"/>
          <w:kern w:val="0"/>
          <w:sz w:val="32"/>
          <w:szCs w:val="32"/>
        </w:rPr>
        <w:t>个；参公单位</w:t>
      </w:r>
      <w:r>
        <w:rPr>
          <w:rFonts w:hint="eastAsia" w:ascii="楷体_GB2312" w:eastAsia="楷体_GB2312"/>
          <w:kern w:val="0"/>
          <w:sz w:val="32"/>
          <w:szCs w:val="32"/>
        </w:rPr>
        <w:t>0</w:t>
      </w:r>
      <w:r>
        <w:rPr>
          <w:rFonts w:ascii="楷体_GB2312" w:eastAsia="楷体_GB2312"/>
          <w:kern w:val="0"/>
          <w:sz w:val="32"/>
          <w:szCs w:val="32"/>
        </w:rPr>
        <w:t>个；事业单位</w:t>
      </w:r>
      <w:r>
        <w:rPr>
          <w:rFonts w:hint="eastAsia" w:ascii="楷体_GB2312" w:eastAsia="楷体_GB2312"/>
          <w:kern w:val="0"/>
          <w:sz w:val="32"/>
          <w:szCs w:val="32"/>
        </w:rPr>
        <w:t>0</w:t>
      </w:r>
      <w:r>
        <w:rPr>
          <w:rFonts w:ascii="楷体_GB2312" w:eastAsia="楷体_GB2312"/>
          <w:kern w:val="0"/>
          <w:sz w:val="32"/>
          <w:szCs w:val="32"/>
        </w:rPr>
        <w:t>个。截止</w:t>
      </w:r>
      <w:r>
        <w:rPr>
          <w:rFonts w:hint="eastAsia" w:ascii="楷体_GB2312" w:eastAsia="楷体_GB2312"/>
          <w:kern w:val="0"/>
          <w:sz w:val="32"/>
          <w:szCs w:val="32"/>
        </w:rPr>
        <w:t>2022</w:t>
      </w:r>
      <w:r>
        <w:rPr>
          <w:rFonts w:ascii="楷体_GB2312" w:eastAsia="楷体_GB2312"/>
          <w:kern w:val="0"/>
          <w:sz w:val="32"/>
          <w:szCs w:val="32"/>
        </w:rPr>
        <w:t>年12月统计，部门基本情况如下：</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在职人员编制</w:t>
      </w:r>
      <w:r>
        <w:rPr>
          <w:rFonts w:hint="eastAsia" w:ascii="楷体_GB2312" w:eastAsia="楷体_GB2312"/>
          <w:kern w:val="0"/>
          <w:sz w:val="32"/>
          <w:szCs w:val="32"/>
        </w:rPr>
        <w:t>467</w:t>
      </w:r>
      <w:r>
        <w:rPr>
          <w:rFonts w:ascii="楷体_GB2312" w:eastAsia="楷体_GB2312"/>
          <w:kern w:val="0"/>
          <w:sz w:val="32"/>
          <w:szCs w:val="32"/>
        </w:rPr>
        <w:t>人，其中：行政编制</w:t>
      </w:r>
      <w:r>
        <w:rPr>
          <w:rFonts w:hint="eastAsia" w:ascii="楷体_GB2312" w:eastAsia="楷体_GB2312"/>
          <w:kern w:val="0"/>
          <w:sz w:val="32"/>
          <w:szCs w:val="32"/>
        </w:rPr>
        <w:t>0</w:t>
      </w:r>
      <w:r>
        <w:rPr>
          <w:rFonts w:ascii="楷体_GB2312" w:eastAsia="楷体_GB2312"/>
          <w:kern w:val="0"/>
          <w:sz w:val="32"/>
          <w:szCs w:val="32"/>
        </w:rPr>
        <w:t>人，</w:t>
      </w:r>
      <w:r>
        <w:rPr>
          <w:rFonts w:hint="eastAsia" w:ascii="楷体_GB2312" w:eastAsia="楷体_GB2312"/>
          <w:kern w:val="0"/>
          <w:sz w:val="32"/>
          <w:szCs w:val="32"/>
        </w:rPr>
        <w:t>工勤人员编制0</w:t>
      </w:r>
      <w:r>
        <w:rPr>
          <w:rFonts w:ascii="楷体_GB2312" w:eastAsia="楷体_GB2312"/>
          <w:kern w:val="0"/>
          <w:sz w:val="32"/>
          <w:szCs w:val="32"/>
        </w:rPr>
        <w:t>人</w:t>
      </w:r>
      <w:r>
        <w:rPr>
          <w:rFonts w:hint="eastAsia" w:ascii="楷体_GB2312" w:eastAsia="楷体_GB2312"/>
          <w:kern w:val="0"/>
          <w:sz w:val="32"/>
          <w:szCs w:val="32"/>
        </w:rPr>
        <w:t>，</w:t>
      </w:r>
      <w:r>
        <w:rPr>
          <w:rFonts w:ascii="楷体_GB2312" w:eastAsia="楷体_GB2312"/>
          <w:kern w:val="0"/>
          <w:sz w:val="32"/>
          <w:szCs w:val="32"/>
        </w:rPr>
        <w:t>事业编制</w:t>
      </w:r>
      <w:r>
        <w:rPr>
          <w:rFonts w:hint="eastAsia" w:ascii="楷体_GB2312" w:eastAsia="楷体_GB2312"/>
          <w:kern w:val="0"/>
          <w:sz w:val="32"/>
          <w:szCs w:val="32"/>
        </w:rPr>
        <w:t>467</w:t>
      </w:r>
      <w:r>
        <w:rPr>
          <w:rFonts w:ascii="楷体_GB2312" w:eastAsia="楷体_GB2312"/>
          <w:kern w:val="0"/>
          <w:sz w:val="32"/>
          <w:szCs w:val="32"/>
        </w:rPr>
        <w:t>人。在职实有</w:t>
      </w:r>
      <w:r>
        <w:rPr>
          <w:rFonts w:hint="eastAsia" w:ascii="楷体_GB2312" w:eastAsia="楷体_GB2312"/>
          <w:kern w:val="0"/>
          <w:sz w:val="32"/>
          <w:szCs w:val="32"/>
        </w:rPr>
        <w:t>544</w:t>
      </w:r>
      <w:r>
        <w:rPr>
          <w:rFonts w:ascii="楷体_GB2312" w:eastAsia="楷体_GB2312"/>
          <w:kern w:val="0"/>
          <w:sz w:val="32"/>
          <w:szCs w:val="32"/>
        </w:rPr>
        <w:t>人，其中： 财政</w:t>
      </w:r>
      <w:r>
        <w:rPr>
          <w:rFonts w:hint="eastAsia" w:ascii="楷体_GB2312" w:eastAsia="楷体_GB2312"/>
          <w:kern w:val="0"/>
          <w:sz w:val="32"/>
          <w:szCs w:val="32"/>
        </w:rPr>
        <w:t>全额保障0</w:t>
      </w:r>
      <w:r>
        <w:rPr>
          <w:rFonts w:ascii="楷体_GB2312" w:eastAsia="楷体_GB2312"/>
          <w:kern w:val="0"/>
          <w:sz w:val="32"/>
          <w:szCs w:val="32"/>
        </w:rPr>
        <w:t>人，财政</w:t>
      </w:r>
      <w:r>
        <w:rPr>
          <w:rFonts w:hint="eastAsia" w:ascii="楷体_GB2312" w:eastAsia="楷体_GB2312"/>
          <w:kern w:val="0"/>
          <w:sz w:val="32"/>
          <w:szCs w:val="32"/>
        </w:rPr>
        <w:t>差额补助544</w:t>
      </w:r>
      <w:r>
        <w:rPr>
          <w:rFonts w:ascii="楷体_GB2312" w:eastAsia="楷体_GB2312"/>
          <w:kern w:val="0"/>
          <w:sz w:val="32"/>
          <w:szCs w:val="32"/>
        </w:rPr>
        <w:t>人，</w:t>
      </w:r>
      <w:r>
        <w:rPr>
          <w:rFonts w:hint="eastAsia" w:ascii="楷体_GB2312" w:eastAsia="楷体_GB2312"/>
          <w:kern w:val="0"/>
          <w:sz w:val="32"/>
          <w:szCs w:val="32"/>
        </w:rPr>
        <w:t>财政专户资金、单位资金保障0</w:t>
      </w:r>
      <w:r>
        <w:rPr>
          <w:rFonts w:ascii="楷体_GB2312" w:eastAsia="楷体_GB2312"/>
          <w:kern w:val="0"/>
          <w:sz w:val="32"/>
          <w:szCs w:val="32"/>
        </w:rPr>
        <w:t>人。</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离退休人员</w:t>
      </w:r>
      <w:r>
        <w:rPr>
          <w:rFonts w:hint="eastAsia" w:ascii="楷体_GB2312" w:eastAsia="楷体_GB2312"/>
          <w:kern w:val="0"/>
          <w:sz w:val="32"/>
          <w:szCs w:val="32"/>
        </w:rPr>
        <w:t>212</w:t>
      </w:r>
      <w:r>
        <w:rPr>
          <w:rFonts w:ascii="楷体_GB2312" w:eastAsia="楷体_GB2312"/>
          <w:kern w:val="0"/>
          <w:sz w:val="32"/>
          <w:szCs w:val="32"/>
        </w:rPr>
        <w:t xml:space="preserve">人，其中： 离休 </w:t>
      </w:r>
      <w:r>
        <w:rPr>
          <w:rFonts w:hint="eastAsia" w:ascii="楷体_GB2312" w:eastAsia="楷体_GB2312"/>
          <w:kern w:val="0"/>
          <w:sz w:val="32"/>
          <w:szCs w:val="32"/>
        </w:rPr>
        <w:t>0</w:t>
      </w:r>
      <w:r>
        <w:rPr>
          <w:rFonts w:ascii="楷体_GB2312" w:eastAsia="楷体_GB2312"/>
          <w:kern w:val="0"/>
          <w:sz w:val="32"/>
          <w:szCs w:val="32"/>
        </w:rPr>
        <w:t>人，退休</w:t>
      </w:r>
      <w:r>
        <w:rPr>
          <w:rFonts w:hint="eastAsia" w:ascii="楷体_GB2312" w:eastAsia="楷体_GB2312"/>
          <w:kern w:val="0"/>
          <w:sz w:val="32"/>
          <w:szCs w:val="32"/>
        </w:rPr>
        <w:t>212</w:t>
      </w:r>
      <w:r>
        <w:rPr>
          <w:rFonts w:ascii="楷体_GB2312" w:eastAsia="楷体_GB2312"/>
          <w:kern w:val="0"/>
          <w:sz w:val="32"/>
          <w:szCs w:val="32"/>
        </w:rPr>
        <w:t>人。</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车辆编制</w:t>
      </w:r>
      <w:r>
        <w:rPr>
          <w:rFonts w:hint="eastAsia" w:ascii="楷体_GB2312" w:eastAsia="楷体_GB2312"/>
          <w:kern w:val="0"/>
          <w:sz w:val="32"/>
          <w:szCs w:val="32"/>
        </w:rPr>
        <w:t>7</w:t>
      </w:r>
      <w:r>
        <w:rPr>
          <w:rFonts w:ascii="楷体_GB2312" w:eastAsia="楷体_GB2312"/>
          <w:kern w:val="0"/>
          <w:sz w:val="32"/>
          <w:szCs w:val="32"/>
        </w:rPr>
        <w:t>辆，实有车辆</w:t>
      </w:r>
      <w:r>
        <w:rPr>
          <w:rFonts w:hint="eastAsia" w:ascii="楷体_GB2312" w:eastAsia="楷体_GB2312"/>
          <w:kern w:val="0"/>
          <w:sz w:val="32"/>
          <w:szCs w:val="32"/>
        </w:rPr>
        <w:t>7</w:t>
      </w:r>
      <w:r>
        <w:rPr>
          <w:rFonts w:ascii="楷体_GB2312" w:eastAsia="楷体_GB2312"/>
          <w:kern w:val="0"/>
          <w:sz w:val="32"/>
          <w:szCs w:val="32"/>
        </w:rPr>
        <w:t>辆。</w:t>
      </w: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三、预算单位收入情况</w:t>
      </w:r>
    </w:p>
    <w:p>
      <w:pPr>
        <w:widowControl/>
        <w:jc w:val="left"/>
        <w:rPr>
          <w:rFonts w:ascii="楷体_GB2312" w:eastAsia="楷体_GB2312"/>
          <w:kern w:val="0"/>
          <w:sz w:val="32"/>
          <w:szCs w:val="32"/>
        </w:rPr>
      </w:pPr>
      <w:r>
        <w:rPr>
          <w:rFonts w:ascii="楷体_GB2312" w:eastAsia="楷体_GB2312"/>
          <w:kern w:val="0"/>
          <w:sz w:val="32"/>
          <w:szCs w:val="32"/>
        </w:rPr>
        <w:t>（一）部门财务收入情况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2023</w:t>
      </w:r>
      <w:r>
        <w:rPr>
          <w:rFonts w:ascii="楷体_GB2312" w:eastAsia="楷体_GB2312"/>
          <w:kern w:val="0"/>
          <w:sz w:val="32"/>
          <w:szCs w:val="32"/>
        </w:rPr>
        <w:t>年部门财务总收入</w:t>
      </w:r>
      <w:r>
        <w:rPr>
          <w:rFonts w:hint="eastAsia" w:ascii="楷体_GB2312" w:eastAsia="楷体_GB2312"/>
          <w:kern w:val="0"/>
          <w:sz w:val="32"/>
          <w:szCs w:val="32"/>
        </w:rPr>
        <w:t>28786.30</w:t>
      </w:r>
      <w:r>
        <w:rPr>
          <w:rFonts w:ascii="楷体_GB2312" w:eastAsia="楷体_GB2312"/>
          <w:kern w:val="0"/>
          <w:sz w:val="32"/>
          <w:szCs w:val="32"/>
        </w:rPr>
        <w:t>万元，其中：一般公共预算</w:t>
      </w:r>
      <w:r>
        <w:rPr>
          <w:rFonts w:hint="eastAsia" w:ascii="楷体_GB2312" w:eastAsia="楷体_GB2312"/>
          <w:kern w:val="0"/>
          <w:sz w:val="32"/>
          <w:szCs w:val="32"/>
        </w:rPr>
        <w:t>4448.48</w:t>
      </w:r>
      <w:r>
        <w:rPr>
          <w:rFonts w:ascii="楷体_GB2312" w:eastAsia="楷体_GB2312"/>
          <w:kern w:val="0"/>
          <w:sz w:val="32"/>
          <w:szCs w:val="32"/>
        </w:rPr>
        <w:t>万元，政府性基金</w:t>
      </w:r>
      <w:r>
        <w:rPr>
          <w:rFonts w:hint="eastAsia" w:ascii="楷体_GB2312" w:eastAsia="楷体_GB2312"/>
          <w:kern w:val="0"/>
          <w:sz w:val="32"/>
          <w:szCs w:val="32"/>
        </w:rPr>
        <w:t>0</w:t>
      </w:r>
      <w:r>
        <w:rPr>
          <w:rFonts w:ascii="楷体_GB2312" w:eastAsia="楷体_GB2312"/>
          <w:kern w:val="0"/>
          <w:sz w:val="32"/>
          <w:szCs w:val="32"/>
        </w:rPr>
        <w:t>万元，国有资本经营</w:t>
      </w:r>
      <w:r>
        <w:rPr>
          <w:rFonts w:hint="eastAsia" w:ascii="楷体_GB2312" w:eastAsia="楷体_GB2312"/>
          <w:kern w:val="0"/>
          <w:sz w:val="32"/>
          <w:szCs w:val="32"/>
        </w:rPr>
        <w:t>收益0</w:t>
      </w:r>
      <w:r>
        <w:rPr>
          <w:rFonts w:ascii="楷体_GB2312" w:eastAsia="楷体_GB2312"/>
          <w:kern w:val="0"/>
          <w:sz w:val="32"/>
          <w:szCs w:val="32"/>
        </w:rPr>
        <w:t>万元</w:t>
      </w:r>
      <w:r>
        <w:rPr>
          <w:rFonts w:hint="eastAsia" w:ascii="楷体_GB2312" w:eastAsia="楷体_GB2312"/>
          <w:kern w:val="0"/>
          <w:sz w:val="32"/>
          <w:szCs w:val="32"/>
        </w:rPr>
        <w:t>，财政专户管理资金收入0</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事业收入</w:t>
      </w:r>
      <w:r>
        <w:rPr>
          <w:rFonts w:hint="eastAsia" w:ascii="楷体_GB2312" w:eastAsia="楷体_GB2312"/>
          <w:kern w:val="0"/>
          <w:sz w:val="32"/>
          <w:szCs w:val="32"/>
        </w:rPr>
        <w:t>21704.31</w:t>
      </w:r>
      <w:r>
        <w:rPr>
          <w:rFonts w:ascii="楷体_GB2312" w:eastAsia="楷体_GB2312"/>
          <w:kern w:val="0"/>
          <w:sz w:val="32"/>
          <w:szCs w:val="32"/>
        </w:rPr>
        <w:t>万元，事业单位经营收入</w:t>
      </w:r>
      <w:r>
        <w:rPr>
          <w:rFonts w:hint="eastAsia" w:ascii="楷体_GB2312" w:eastAsia="楷体_GB2312"/>
          <w:kern w:val="0"/>
          <w:sz w:val="32"/>
          <w:szCs w:val="32"/>
        </w:rPr>
        <w:t>0</w:t>
      </w:r>
      <w:r>
        <w:rPr>
          <w:rFonts w:ascii="楷体_GB2312" w:eastAsia="楷体_GB2312"/>
          <w:kern w:val="0"/>
          <w:sz w:val="32"/>
          <w:szCs w:val="32"/>
        </w:rPr>
        <w:t>万元</w:t>
      </w:r>
      <w:r>
        <w:rPr>
          <w:rFonts w:hint="eastAsia" w:ascii="楷体_GB2312" w:eastAsia="楷体_GB2312"/>
          <w:kern w:val="0"/>
          <w:sz w:val="32"/>
          <w:szCs w:val="32"/>
        </w:rPr>
        <w:t>，上级补助收入0</w:t>
      </w:r>
      <w:r>
        <w:rPr>
          <w:rFonts w:ascii="楷体_GB2312" w:eastAsia="楷体_GB2312"/>
          <w:kern w:val="0"/>
          <w:sz w:val="32"/>
          <w:szCs w:val="32"/>
        </w:rPr>
        <w:t>万元</w:t>
      </w:r>
      <w:r>
        <w:rPr>
          <w:rFonts w:hint="eastAsia" w:ascii="楷体_GB2312" w:eastAsia="楷体_GB2312"/>
          <w:kern w:val="0"/>
          <w:sz w:val="32"/>
          <w:szCs w:val="32"/>
        </w:rPr>
        <w:t>，附属单位上缴收入0</w:t>
      </w:r>
      <w:r>
        <w:rPr>
          <w:rFonts w:ascii="楷体_GB2312" w:eastAsia="楷体_GB2312"/>
          <w:kern w:val="0"/>
          <w:sz w:val="32"/>
          <w:szCs w:val="32"/>
        </w:rPr>
        <w:t>万元，其他收入</w:t>
      </w:r>
      <w:r>
        <w:rPr>
          <w:rFonts w:hint="eastAsia" w:ascii="楷体_GB2312" w:eastAsia="楷体_GB2312"/>
          <w:kern w:val="0"/>
          <w:sz w:val="32"/>
          <w:szCs w:val="32"/>
        </w:rPr>
        <w:t>2032.82</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上年结转资金</w:t>
      </w:r>
      <w:r>
        <w:rPr>
          <w:rFonts w:hint="eastAsia" w:ascii="楷体_GB2312" w:eastAsia="楷体_GB2312"/>
          <w:kern w:val="0"/>
          <w:sz w:val="32"/>
          <w:szCs w:val="32"/>
        </w:rPr>
        <w:t>600.69万元</w:t>
      </w:r>
      <w:r>
        <w:rPr>
          <w:rFonts w:ascii="楷体_GB2312" w:eastAsia="楷体_GB2312"/>
          <w:kern w:val="0"/>
          <w:sz w:val="32"/>
          <w:szCs w:val="32"/>
        </w:rPr>
        <w:t>。</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与上年对比增加15.19%，主要原因分析2022年事业收入增加。</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（二）财政拨款收入情况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2023</w:t>
      </w:r>
      <w:r>
        <w:rPr>
          <w:rFonts w:ascii="楷体_GB2312" w:eastAsia="楷体_GB2312"/>
          <w:kern w:val="0"/>
          <w:sz w:val="32"/>
          <w:szCs w:val="32"/>
        </w:rPr>
        <w:t xml:space="preserve">年部门财政拨款收入 </w:t>
      </w:r>
      <w:r>
        <w:rPr>
          <w:rFonts w:hint="eastAsia" w:ascii="楷体_GB2312" w:eastAsia="楷体_GB2312"/>
          <w:kern w:val="0"/>
          <w:sz w:val="32"/>
          <w:szCs w:val="32"/>
        </w:rPr>
        <w:t>5049.16</w:t>
      </w:r>
      <w:r>
        <w:rPr>
          <w:rFonts w:ascii="楷体_GB2312" w:eastAsia="楷体_GB2312"/>
          <w:kern w:val="0"/>
          <w:sz w:val="32"/>
          <w:szCs w:val="32"/>
        </w:rPr>
        <w:t>万元，其中:本年收入</w:t>
      </w:r>
      <w:r>
        <w:rPr>
          <w:rFonts w:hint="eastAsia" w:ascii="楷体_GB2312" w:eastAsia="楷体_GB2312"/>
          <w:kern w:val="0"/>
          <w:sz w:val="32"/>
          <w:szCs w:val="32"/>
        </w:rPr>
        <w:t>0</w:t>
      </w:r>
      <w:r>
        <w:rPr>
          <w:rFonts w:ascii="楷体_GB2312" w:eastAsia="楷体_GB2312"/>
          <w:kern w:val="0"/>
          <w:sz w:val="32"/>
          <w:szCs w:val="32"/>
        </w:rPr>
        <w:t>万元，上年结转</w:t>
      </w:r>
      <w:r>
        <w:rPr>
          <w:rFonts w:hint="eastAsia" w:ascii="楷体_GB2312" w:eastAsia="楷体_GB2312"/>
          <w:kern w:val="0"/>
          <w:sz w:val="32"/>
          <w:szCs w:val="32"/>
        </w:rPr>
        <w:t>收入0</w:t>
      </w:r>
      <w:r>
        <w:rPr>
          <w:rFonts w:ascii="楷体_GB2312" w:eastAsia="楷体_GB2312"/>
          <w:kern w:val="0"/>
          <w:sz w:val="32"/>
          <w:szCs w:val="32"/>
        </w:rPr>
        <w:t>万元。本年收入中，一般公共预算财政拨款</w:t>
      </w:r>
      <w:r>
        <w:rPr>
          <w:rFonts w:hint="eastAsia" w:ascii="楷体_GB2312" w:eastAsia="楷体_GB2312"/>
          <w:kern w:val="0"/>
          <w:sz w:val="32"/>
          <w:szCs w:val="32"/>
        </w:rPr>
        <w:t>4448.48</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政府性基金</w:t>
      </w:r>
      <w:r>
        <w:rPr>
          <w:rFonts w:hint="eastAsia" w:ascii="楷体_GB2312" w:eastAsia="楷体_GB2312"/>
          <w:kern w:val="0"/>
          <w:sz w:val="32"/>
          <w:szCs w:val="32"/>
        </w:rPr>
        <w:t>预算</w:t>
      </w:r>
      <w:r>
        <w:rPr>
          <w:rFonts w:ascii="楷体_GB2312" w:eastAsia="楷体_GB2312"/>
          <w:kern w:val="0"/>
          <w:sz w:val="32"/>
          <w:szCs w:val="32"/>
        </w:rPr>
        <w:t>财政拨款</w:t>
      </w:r>
      <w:r>
        <w:rPr>
          <w:rFonts w:hint="eastAsia" w:ascii="楷体_GB2312" w:eastAsia="楷体_GB2312"/>
          <w:kern w:val="0"/>
          <w:sz w:val="32"/>
          <w:szCs w:val="32"/>
        </w:rPr>
        <w:t>0</w:t>
      </w:r>
      <w:r>
        <w:rPr>
          <w:rFonts w:ascii="楷体_GB2312" w:eastAsia="楷体_GB2312"/>
          <w:kern w:val="0"/>
          <w:sz w:val="32"/>
          <w:szCs w:val="32"/>
        </w:rPr>
        <w:t>万元，国有资本经营</w:t>
      </w:r>
      <w:r>
        <w:rPr>
          <w:rFonts w:hint="eastAsia" w:ascii="楷体_GB2312" w:eastAsia="楷体_GB2312"/>
          <w:kern w:val="0"/>
          <w:sz w:val="32"/>
          <w:szCs w:val="32"/>
        </w:rPr>
        <w:t>收益</w:t>
      </w:r>
      <w:r>
        <w:rPr>
          <w:rFonts w:ascii="楷体_GB2312" w:eastAsia="楷体_GB2312"/>
          <w:kern w:val="0"/>
          <w:sz w:val="32"/>
          <w:szCs w:val="32"/>
        </w:rPr>
        <w:t>财政拨款</w:t>
      </w:r>
      <w:r>
        <w:rPr>
          <w:rFonts w:hint="eastAsia" w:ascii="楷体_GB2312" w:eastAsia="楷体_GB2312"/>
          <w:kern w:val="0"/>
          <w:sz w:val="32"/>
          <w:szCs w:val="32"/>
        </w:rPr>
        <w:t>0</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上年结转资金</w:t>
      </w:r>
      <w:r>
        <w:rPr>
          <w:rFonts w:hint="eastAsia" w:ascii="楷体_GB2312" w:eastAsia="楷体_GB2312"/>
          <w:kern w:val="0"/>
          <w:sz w:val="32"/>
          <w:szCs w:val="32"/>
        </w:rPr>
        <w:t>600.69万元</w:t>
      </w:r>
      <w:r>
        <w:rPr>
          <w:rFonts w:ascii="楷体_GB2312" w:eastAsia="楷体_GB2312"/>
          <w:kern w:val="0"/>
          <w:sz w:val="32"/>
          <w:szCs w:val="32"/>
        </w:rPr>
        <w:t>。</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与上年对比增加17.27 %，主要原因2022年财政项目经费结转到2023年预算中。</w:t>
      </w:r>
    </w:p>
    <w:p>
      <w:pPr>
        <w:widowControl/>
        <w:numPr>
          <w:ilvl w:val="0"/>
          <w:numId w:val="1"/>
        </w:numPr>
        <w:ind w:firstLine="640" w:firstLineChars="200"/>
        <w:jc w:val="left"/>
        <w:rPr>
          <w:rFonts w:ascii="黑体" w:hAnsi="黑体" w:eastAsia="黑体"/>
          <w:kern w:val="0"/>
          <w:sz w:val="32"/>
          <w:szCs w:val="32"/>
        </w:rPr>
      </w:pPr>
      <w:r>
        <w:rPr>
          <w:rFonts w:ascii="黑体" w:hAnsi="黑体" w:eastAsia="黑体"/>
          <w:kern w:val="0"/>
          <w:sz w:val="32"/>
          <w:szCs w:val="32"/>
        </w:rPr>
        <w:t>预算单位支出情况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2023</w:t>
      </w:r>
      <w:r>
        <w:rPr>
          <w:rFonts w:ascii="楷体_GB2312" w:eastAsia="楷体_GB2312"/>
          <w:kern w:val="0"/>
          <w:sz w:val="32"/>
          <w:szCs w:val="32"/>
        </w:rPr>
        <w:t>年部门预算总支出</w:t>
      </w:r>
      <w:r>
        <w:rPr>
          <w:rFonts w:hint="eastAsia" w:ascii="楷体_GB2312" w:eastAsia="楷体_GB2312"/>
          <w:kern w:val="0"/>
          <w:sz w:val="32"/>
          <w:szCs w:val="32"/>
        </w:rPr>
        <w:t>28786.30</w:t>
      </w:r>
      <w:r>
        <w:rPr>
          <w:rFonts w:ascii="楷体_GB2312" w:eastAsia="楷体_GB2312"/>
          <w:kern w:val="0"/>
          <w:sz w:val="32"/>
          <w:szCs w:val="32"/>
        </w:rPr>
        <w:t>万元。</w:t>
      </w:r>
      <w:r>
        <w:rPr>
          <w:rFonts w:hint="eastAsia" w:ascii="楷体_GB2312" w:eastAsia="楷体_GB2312"/>
          <w:kern w:val="0"/>
          <w:sz w:val="32"/>
          <w:szCs w:val="32"/>
        </w:rPr>
        <w:t>财政拨款</w:t>
      </w:r>
      <w:r>
        <w:rPr>
          <w:rFonts w:ascii="楷体_GB2312" w:eastAsia="楷体_GB2312"/>
          <w:kern w:val="0"/>
          <w:sz w:val="32"/>
          <w:szCs w:val="32"/>
        </w:rPr>
        <w:t>安排支出</w:t>
      </w:r>
      <w:r>
        <w:rPr>
          <w:rFonts w:hint="eastAsia" w:ascii="楷体_GB2312" w:eastAsia="楷体_GB2312"/>
          <w:kern w:val="0"/>
          <w:sz w:val="32"/>
          <w:szCs w:val="32"/>
        </w:rPr>
        <w:t>5049.16</w:t>
      </w:r>
      <w:r>
        <w:rPr>
          <w:rFonts w:ascii="楷体_GB2312" w:eastAsia="楷体_GB2312"/>
          <w:kern w:val="0"/>
          <w:sz w:val="32"/>
          <w:szCs w:val="32"/>
        </w:rPr>
        <w:t>万元，其中</w:t>
      </w:r>
      <w:r>
        <w:rPr>
          <w:rFonts w:hint="eastAsia" w:ascii="楷体_GB2312" w:eastAsia="楷体_GB2312"/>
          <w:kern w:val="0"/>
          <w:sz w:val="32"/>
          <w:szCs w:val="32"/>
        </w:rPr>
        <w:t>：</w:t>
      </w:r>
      <w:r>
        <w:rPr>
          <w:rFonts w:ascii="楷体_GB2312" w:eastAsia="楷体_GB2312"/>
          <w:kern w:val="0"/>
          <w:sz w:val="32"/>
          <w:szCs w:val="32"/>
        </w:rPr>
        <w:t>基本支出</w:t>
      </w:r>
      <w:r>
        <w:rPr>
          <w:rFonts w:hint="eastAsia" w:ascii="楷体_GB2312" w:eastAsia="楷体_GB2312"/>
          <w:kern w:val="0"/>
          <w:sz w:val="32"/>
          <w:szCs w:val="32"/>
        </w:rPr>
        <w:t>3961.99</w:t>
      </w:r>
      <w:r>
        <w:rPr>
          <w:rFonts w:ascii="楷体_GB2312" w:eastAsia="楷体_GB2312"/>
          <w:kern w:val="0"/>
          <w:sz w:val="32"/>
          <w:szCs w:val="32"/>
        </w:rPr>
        <w:t>万元</w:t>
      </w:r>
      <w:r>
        <w:rPr>
          <w:rFonts w:hint="eastAsia" w:ascii="楷体_GB2312" w:eastAsia="楷体_GB2312"/>
          <w:kern w:val="0"/>
          <w:sz w:val="32"/>
          <w:szCs w:val="32"/>
        </w:rPr>
        <w:t>，与上年对比增加4.88%，主要原因分析在编人员增加，导致人员经费增加；</w:t>
      </w:r>
      <w:r>
        <w:rPr>
          <w:rFonts w:ascii="楷体_GB2312" w:eastAsia="楷体_GB2312"/>
          <w:kern w:val="0"/>
          <w:sz w:val="32"/>
          <w:szCs w:val="32"/>
        </w:rPr>
        <w:t>项目支出</w:t>
      </w:r>
      <w:r>
        <w:rPr>
          <w:rFonts w:hint="eastAsia" w:ascii="楷体_GB2312" w:eastAsia="楷体_GB2312"/>
          <w:kern w:val="0"/>
          <w:sz w:val="32"/>
          <w:szCs w:val="32"/>
        </w:rPr>
        <w:t>1087.18</w:t>
      </w:r>
      <w:r>
        <w:rPr>
          <w:rFonts w:ascii="楷体_GB2312" w:eastAsia="楷体_GB2312"/>
          <w:kern w:val="0"/>
          <w:sz w:val="32"/>
          <w:szCs w:val="32"/>
        </w:rPr>
        <w:t>万元</w:t>
      </w:r>
      <w:r>
        <w:rPr>
          <w:rFonts w:hint="eastAsia" w:ascii="楷体_GB2312" w:eastAsia="楷体_GB2312"/>
          <w:kern w:val="0"/>
          <w:sz w:val="32"/>
          <w:szCs w:val="32"/>
        </w:rPr>
        <w:t>，与上年对比增加172.20%，主要原因2022年财政项目经费结转到2023年预算中。</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财政拨款安排支出按功能科目分类情况，主要用于1、</w:t>
      </w:r>
      <w:r>
        <w:rPr>
          <w:rFonts w:ascii="楷体_GB2312" w:eastAsia="楷体_GB2312"/>
          <w:kern w:val="0"/>
          <w:sz w:val="32"/>
          <w:szCs w:val="32"/>
        </w:rPr>
        <w:t>基本支出</w:t>
      </w:r>
      <w:r>
        <w:rPr>
          <w:rFonts w:hint="eastAsia" w:ascii="楷体_GB2312" w:eastAsia="楷体_GB2312"/>
          <w:kern w:val="0"/>
          <w:sz w:val="32"/>
          <w:szCs w:val="32"/>
        </w:rPr>
        <w:t>3961.985万元。(1)人员经费3947.345万元（包括在编人员经费3449.585万元、退休人员生活补助497.76万元）；(2)退休人员公用经费14.64万元。2、项目支出1087.177万元。(1)一般项目486.49万元；(2)重大公共卫生服务经费20.299万元；(3)其他公立医院支出500万元；(4)2022年专项资金结转80.388万元。</w:t>
      </w:r>
    </w:p>
    <w:p>
      <w:pPr>
        <w:widowControl/>
        <w:numPr>
          <w:ilvl w:val="0"/>
          <w:numId w:val="2"/>
        </w:numPr>
        <w:ind w:firstLine="640" w:firstLineChars="200"/>
        <w:jc w:val="left"/>
        <w:rPr>
          <w:rFonts w:ascii="黑体" w:hAnsi="黑体" w:eastAsia="黑体"/>
          <w:kern w:val="0"/>
          <w:sz w:val="32"/>
          <w:szCs w:val="32"/>
        </w:rPr>
      </w:pPr>
      <w:r>
        <w:rPr>
          <w:rFonts w:hint="eastAsia" w:ascii="黑体" w:hAnsi="黑体" w:eastAsia="黑体"/>
          <w:kern w:val="0"/>
          <w:sz w:val="32"/>
          <w:szCs w:val="32"/>
        </w:rPr>
        <w:t>市</w:t>
      </w:r>
      <w:r>
        <w:rPr>
          <w:rFonts w:ascii="黑体" w:hAnsi="黑体" w:eastAsia="黑体"/>
          <w:kern w:val="0"/>
          <w:sz w:val="32"/>
          <w:szCs w:val="32"/>
        </w:rPr>
        <w:t>对下</w:t>
      </w:r>
      <w:r>
        <w:rPr>
          <w:rFonts w:hint="eastAsia" w:ascii="黑体" w:hAnsi="黑体" w:eastAsia="黑体"/>
          <w:kern w:val="0"/>
          <w:sz w:val="32"/>
          <w:szCs w:val="32"/>
        </w:rPr>
        <w:t>专</w:t>
      </w:r>
      <w:r>
        <w:rPr>
          <w:rFonts w:ascii="黑体" w:hAnsi="黑体" w:eastAsia="黑体"/>
          <w:kern w:val="0"/>
          <w:sz w:val="32"/>
          <w:szCs w:val="32"/>
        </w:rPr>
        <w:t>项转移支付情况</w:t>
      </w:r>
    </w:p>
    <w:p>
      <w:pPr>
        <w:widowControl/>
        <w:numPr>
          <w:ilvl w:val="0"/>
          <w:numId w:val="3"/>
        </w:numPr>
        <w:jc w:val="left"/>
        <w:rPr>
          <w:rFonts w:ascii="楷体_GB2312" w:eastAsia="楷体_GB2312"/>
          <w:kern w:val="0"/>
          <w:sz w:val="32"/>
          <w:szCs w:val="32"/>
        </w:rPr>
      </w:pPr>
      <w:r>
        <w:rPr>
          <w:rFonts w:hint="eastAsia" w:ascii="楷体_GB2312" w:eastAsia="楷体_GB2312"/>
          <w:kern w:val="0"/>
          <w:sz w:val="32"/>
          <w:szCs w:val="32"/>
        </w:rPr>
        <w:t>与中央配套事项</w:t>
      </w:r>
    </w:p>
    <w:p>
      <w:pPr>
        <w:widowControl/>
        <w:ind w:left="640" w:firstLine="640" w:firstLineChars="200"/>
        <w:jc w:val="left"/>
        <w:rPr>
          <w:rFonts w:ascii="楷体_GB2312" w:eastAsia="楷体_GB2312"/>
          <w:kern w:val="0"/>
          <w:sz w:val="32"/>
          <w:szCs w:val="32"/>
        </w:rPr>
      </w:pPr>
      <w:r>
        <w:rPr>
          <w:rFonts w:hint="eastAsia" w:ascii="楷体_GB2312" w:eastAsia="楷体_GB2312"/>
          <w:kern w:val="0"/>
          <w:sz w:val="32"/>
          <w:szCs w:val="32"/>
        </w:rPr>
        <w:t xml:space="preserve">   无</w:t>
      </w:r>
    </w:p>
    <w:p>
      <w:pPr>
        <w:widowControl/>
        <w:numPr>
          <w:ilvl w:val="0"/>
          <w:numId w:val="3"/>
        </w:numPr>
        <w:jc w:val="left"/>
        <w:rPr>
          <w:rFonts w:ascii="楷体_GB2312" w:eastAsia="楷体_GB2312"/>
          <w:kern w:val="0"/>
          <w:sz w:val="32"/>
          <w:szCs w:val="32"/>
        </w:rPr>
      </w:pPr>
      <w:r>
        <w:rPr>
          <w:rFonts w:hint="eastAsia" w:ascii="楷体_GB2312" w:eastAsia="楷体_GB2312"/>
          <w:kern w:val="0"/>
          <w:sz w:val="32"/>
          <w:szCs w:val="32"/>
        </w:rPr>
        <w:t>按既定政策标准测算补助事项</w:t>
      </w:r>
    </w:p>
    <w:p>
      <w:pPr>
        <w:widowControl/>
        <w:ind w:left="1720"/>
        <w:jc w:val="left"/>
        <w:rPr>
          <w:rFonts w:ascii="楷体_GB2312" w:eastAsia="楷体_GB2312"/>
          <w:kern w:val="0"/>
          <w:sz w:val="32"/>
          <w:szCs w:val="32"/>
        </w:rPr>
      </w:pPr>
      <w:r>
        <w:rPr>
          <w:rFonts w:hint="eastAsia" w:ascii="楷体_GB2312" w:eastAsia="楷体_GB2312"/>
          <w:kern w:val="0"/>
          <w:sz w:val="32"/>
          <w:szCs w:val="32"/>
        </w:rPr>
        <w:t>无</w:t>
      </w:r>
    </w:p>
    <w:p>
      <w:pPr>
        <w:widowControl/>
        <w:numPr>
          <w:ilvl w:val="0"/>
          <w:numId w:val="3"/>
        </w:numPr>
        <w:jc w:val="left"/>
        <w:rPr>
          <w:rFonts w:ascii="仿宋_GB2312" w:hAnsi="仿宋_GB2312" w:eastAsia="仿宋_GB2312" w:cs="仿宋_GB2312"/>
          <w:kern w:val="0"/>
          <w:sz w:val="32"/>
          <w:szCs w:val="32"/>
        </w:rPr>
      </w:pPr>
      <w:r>
        <w:rPr>
          <w:rFonts w:hint="eastAsia" w:ascii="楷体_GB2312" w:eastAsia="楷体_GB2312"/>
          <w:kern w:val="0"/>
          <w:sz w:val="32"/>
          <w:szCs w:val="32"/>
        </w:rPr>
        <w:t>经济社会事业发展事项</w:t>
      </w:r>
    </w:p>
    <w:p>
      <w:pPr>
        <w:widowControl/>
        <w:ind w:left="172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无</w:t>
      </w: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六、政府采购预算情况</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根据《中华人民共和国政府采购法》的有关规定，编制了政府采购预算，共涉及采购项目</w:t>
      </w:r>
      <w:r>
        <w:rPr>
          <w:rFonts w:hint="eastAsia" w:ascii="楷体_GB2312" w:eastAsia="楷体_GB2312"/>
          <w:kern w:val="0"/>
          <w:sz w:val="32"/>
          <w:szCs w:val="32"/>
        </w:rPr>
        <w:t>68</w:t>
      </w:r>
      <w:r>
        <w:rPr>
          <w:rFonts w:ascii="楷体_GB2312" w:eastAsia="楷体_GB2312"/>
          <w:kern w:val="0"/>
          <w:sz w:val="32"/>
          <w:szCs w:val="32"/>
        </w:rPr>
        <w:t>个，</w:t>
      </w:r>
      <w:r>
        <w:rPr>
          <w:rFonts w:hint="eastAsia" w:ascii="楷体_GB2312" w:eastAsia="楷体_GB2312"/>
          <w:kern w:val="0"/>
          <w:sz w:val="32"/>
          <w:szCs w:val="32"/>
        </w:rPr>
        <w:t>政府</w:t>
      </w:r>
      <w:r>
        <w:rPr>
          <w:rFonts w:ascii="楷体_GB2312" w:eastAsia="楷体_GB2312"/>
          <w:kern w:val="0"/>
          <w:sz w:val="32"/>
          <w:szCs w:val="32"/>
        </w:rPr>
        <w:t>采购预算</w:t>
      </w:r>
      <w:r>
        <w:rPr>
          <w:rFonts w:hint="eastAsia" w:ascii="楷体_GB2312" w:eastAsia="楷体_GB2312"/>
          <w:kern w:val="0"/>
          <w:sz w:val="32"/>
          <w:szCs w:val="32"/>
        </w:rPr>
        <w:t>总额</w:t>
      </w:r>
      <w:r>
        <w:rPr>
          <w:rFonts w:ascii="楷体_GB2312" w:eastAsia="楷体_GB2312"/>
          <w:kern w:val="0"/>
          <w:sz w:val="32"/>
          <w:szCs w:val="32"/>
        </w:rPr>
        <w:t>2680</w:t>
      </w:r>
      <w:r>
        <w:rPr>
          <w:rFonts w:hint="eastAsia" w:ascii="楷体_GB2312" w:eastAsia="楷体_GB2312"/>
          <w:kern w:val="0"/>
          <w:sz w:val="32"/>
          <w:szCs w:val="32"/>
        </w:rPr>
        <w:t>.</w:t>
      </w:r>
      <w:r>
        <w:rPr>
          <w:rFonts w:ascii="楷体_GB2312" w:eastAsia="楷体_GB2312"/>
          <w:kern w:val="0"/>
          <w:sz w:val="32"/>
          <w:szCs w:val="32"/>
        </w:rPr>
        <w:t>17万元</w:t>
      </w:r>
      <w:r>
        <w:rPr>
          <w:rFonts w:hint="eastAsia" w:ascii="楷体_GB2312" w:eastAsia="楷体_GB2312"/>
          <w:kern w:val="0"/>
          <w:sz w:val="32"/>
          <w:szCs w:val="32"/>
        </w:rPr>
        <w:t>，其中：政府采购货物预算</w:t>
      </w:r>
      <w:r>
        <w:rPr>
          <w:rFonts w:ascii="楷体_GB2312" w:eastAsia="楷体_GB2312"/>
          <w:kern w:val="0"/>
          <w:sz w:val="32"/>
          <w:szCs w:val="32"/>
        </w:rPr>
        <w:t>2680</w:t>
      </w:r>
      <w:r>
        <w:rPr>
          <w:rFonts w:hint="eastAsia" w:ascii="楷体_GB2312" w:eastAsia="楷体_GB2312"/>
          <w:kern w:val="0"/>
          <w:sz w:val="32"/>
          <w:szCs w:val="32"/>
        </w:rPr>
        <w:t>.</w:t>
      </w:r>
      <w:r>
        <w:rPr>
          <w:rFonts w:ascii="楷体_GB2312" w:eastAsia="楷体_GB2312"/>
          <w:kern w:val="0"/>
          <w:sz w:val="32"/>
          <w:szCs w:val="32"/>
        </w:rPr>
        <w:t>17万元</w:t>
      </w:r>
      <w:r>
        <w:rPr>
          <w:rFonts w:hint="eastAsia" w:ascii="楷体_GB2312" w:eastAsia="楷体_GB2312"/>
          <w:kern w:val="0"/>
          <w:sz w:val="32"/>
          <w:szCs w:val="32"/>
        </w:rPr>
        <w:t>、政府采购服务预算0</w:t>
      </w:r>
      <w:r>
        <w:rPr>
          <w:rFonts w:ascii="楷体_GB2312" w:eastAsia="楷体_GB2312"/>
          <w:kern w:val="0"/>
          <w:sz w:val="32"/>
          <w:szCs w:val="32"/>
        </w:rPr>
        <w:t>万元</w:t>
      </w:r>
      <w:r>
        <w:rPr>
          <w:rFonts w:hint="eastAsia" w:ascii="楷体_GB2312" w:eastAsia="楷体_GB2312"/>
          <w:kern w:val="0"/>
          <w:sz w:val="32"/>
          <w:szCs w:val="32"/>
        </w:rPr>
        <w:t>、政府采购工程预算0</w:t>
      </w:r>
      <w:r>
        <w:rPr>
          <w:rFonts w:ascii="楷体_GB2312" w:eastAsia="楷体_GB2312"/>
          <w:kern w:val="0"/>
          <w:sz w:val="32"/>
          <w:szCs w:val="32"/>
        </w:rPr>
        <w:t>万元</w:t>
      </w:r>
      <w:r>
        <w:rPr>
          <w:rFonts w:hint="eastAsia" w:ascii="楷体_GB2312" w:eastAsia="楷体_GB2312"/>
          <w:kern w:val="0"/>
          <w:sz w:val="32"/>
          <w:szCs w:val="32"/>
        </w:rPr>
        <w:t>。</w:t>
      </w:r>
    </w:p>
    <w:p>
      <w:pPr>
        <w:widowControl/>
        <w:ind w:firstLine="640" w:firstLineChars="200"/>
        <w:jc w:val="left"/>
        <w:rPr>
          <w:rFonts w:ascii="楷体" w:hAnsi="楷体" w:eastAsia="楷体" w:cs="楷体"/>
          <w:kern w:val="0"/>
          <w:sz w:val="32"/>
          <w:szCs w:val="32"/>
        </w:rPr>
      </w:pPr>
      <w:r>
        <w:rPr>
          <w:rFonts w:hint="eastAsia" w:ascii="黑体" w:hAnsi="黑体" w:eastAsia="黑体"/>
          <w:kern w:val="0"/>
          <w:sz w:val="32"/>
          <w:szCs w:val="32"/>
        </w:rPr>
        <w:t>七、部门“三公”经费增减变化情况及原因说明</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云南省精神病医院2022年</w:t>
      </w:r>
      <w:r>
        <w:rPr>
          <w:rFonts w:ascii="楷体_GB2312" w:eastAsia="楷体_GB2312"/>
          <w:kern w:val="0"/>
          <w:sz w:val="32"/>
          <w:szCs w:val="32"/>
        </w:rPr>
        <w:t>一般公共预算财政拨款“三公</w:t>
      </w:r>
      <w:r>
        <w:rPr>
          <w:rFonts w:hint="eastAsia" w:ascii="楷体_GB2312" w:eastAsia="楷体_GB2312"/>
          <w:kern w:val="0"/>
          <w:sz w:val="32"/>
          <w:szCs w:val="32"/>
        </w:rPr>
        <w:t>”</w:t>
      </w:r>
      <w:r>
        <w:rPr>
          <w:rFonts w:ascii="楷体_GB2312" w:eastAsia="楷体_GB2312"/>
          <w:kern w:val="0"/>
          <w:sz w:val="32"/>
          <w:szCs w:val="32"/>
        </w:rPr>
        <w:t>经费</w:t>
      </w:r>
      <w:r>
        <w:rPr>
          <w:rFonts w:hint="eastAsia" w:ascii="楷体_GB2312" w:eastAsia="楷体_GB2312"/>
          <w:kern w:val="0"/>
          <w:sz w:val="32"/>
          <w:szCs w:val="32"/>
        </w:rPr>
        <w:t>预</w:t>
      </w:r>
      <w:r>
        <w:rPr>
          <w:rFonts w:ascii="楷体_GB2312" w:eastAsia="楷体_GB2312"/>
          <w:kern w:val="0"/>
          <w:sz w:val="32"/>
          <w:szCs w:val="32"/>
        </w:rPr>
        <w:t>算</w:t>
      </w:r>
      <w:r>
        <w:rPr>
          <w:rFonts w:hint="eastAsia" w:ascii="楷体_GB2312" w:eastAsia="楷体_GB2312"/>
          <w:kern w:val="0"/>
          <w:sz w:val="32"/>
          <w:szCs w:val="32"/>
        </w:rPr>
        <w:t>合计0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w:t>
      </w:r>
      <w:r>
        <w:rPr>
          <w:rFonts w:hint="eastAsia" w:ascii="楷体_GB2312" w:eastAsia="楷体_GB2312"/>
          <w:kern w:val="0"/>
          <w:sz w:val="32"/>
          <w:szCs w:val="32"/>
        </w:rPr>
        <w:t>，具体变动情况如下：</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（一）</w:t>
      </w:r>
      <w:r>
        <w:rPr>
          <w:rFonts w:ascii="楷体_GB2312" w:eastAsia="楷体_GB2312"/>
          <w:kern w:val="0"/>
          <w:sz w:val="32"/>
          <w:szCs w:val="32"/>
        </w:rPr>
        <w:t>因公出国（境）费</w:t>
      </w:r>
    </w:p>
    <w:p>
      <w:pPr>
        <w:spacing w:line="600" w:lineRule="exact"/>
        <w:ind w:firstLine="640" w:firstLineChars="200"/>
        <w:rPr>
          <w:rFonts w:ascii="楷体_GB2312" w:eastAsia="楷体_GB2312"/>
          <w:kern w:val="0"/>
          <w:sz w:val="32"/>
          <w:szCs w:val="32"/>
        </w:rPr>
      </w:pPr>
      <w:r>
        <w:rPr>
          <w:rFonts w:hint="eastAsia" w:eastAsia="仿宋_GB2312"/>
          <w:kern w:val="0"/>
          <w:sz w:val="32"/>
          <w:szCs w:val="32"/>
        </w:rPr>
        <w:t>云</w:t>
      </w:r>
      <w:r>
        <w:rPr>
          <w:rFonts w:hint="eastAsia" w:ascii="楷体_GB2312" w:eastAsia="楷体_GB2312"/>
          <w:kern w:val="0"/>
          <w:sz w:val="32"/>
          <w:szCs w:val="32"/>
        </w:rPr>
        <w:t>南省精神病医院2023年</w:t>
      </w:r>
      <w:r>
        <w:rPr>
          <w:rFonts w:ascii="楷体_GB2312" w:eastAsia="楷体_GB2312"/>
          <w:kern w:val="0"/>
          <w:sz w:val="32"/>
          <w:szCs w:val="32"/>
        </w:rPr>
        <w:t>因公出国（境）费</w:t>
      </w:r>
      <w:r>
        <w:rPr>
          <w:rFonts w:hint="eastAsia" w:ascii="楷体_GB2312" w:eastAsia="楷体_GB2312"/>
          <w:kern w:val="0"/>
          <w:sz w:val="32"/>
          <w:szCs w:val="32"/>
        </w:rPr>
        <w:t>预算为0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w:t>
      </w:r>
      <w:r>
        <w:rPr>
          <w:rFonts w:hint="eastAsia" w:ascii="楷体_GB2312" w:eastAsia="楷体_GB2312"/>
          <w:kern w:val="0"/>
          <w:sz w:val="32"/>
          <w:szCs w:val="32"/>
        </w:rPr>
        <w:t>，增长0</w:t>
      </w:r>
      <w:r>
        <w:rPr>
          <w:rFonts w:ascii="楷体_GB2312" w:eastAsia="楷体_GB2312"/>
          <w:kern w:val="0"/>
          <w:sz w:val="32"/>
          <w:szCs w:val="32"/>
        </w:rPr>
        <w:t>%，共计安排因公出国（境）团组</w:t>
      </w:r>
      <w:r>
        <w:rPr>
          <w:rFonts w:hint="eastAsia" w:ascii="楷体_GB2312" w:eastAsia="楷体_GB2312"/>
          <w:kern w:val="0"/>
          <w:sz w:val="32"/>
          <w:szCs w:val="32"/>
        </w:rPr>
        <w:t>0</w:t>
      </w:r>
      <w:r>
        <w:rPr>
          <w:rFonts w:ascii="楷体_GB2312" w:eastAsia="楷体_GB2312"/>
          <w:kern w:val="0"/>
          <w:sz w:val="32"/>
          <w:szCs w:val="32"/>
        </w:rPr>
        <w:t>个，因公出国（境）</w:t>
      </w:r>
      <w:r>
        <w:rPr>
          <w:rFonts w:hint="eastAsia" w:ascii="楷体_GB2312" w:eastAsia="楷体_GB2312"/>
          <w:kern w:val="0"/>
          <w:sz w:val="32"/>
          <w:szCs w:val="32"/>
        </w:rPr>
        <w:t>0</w:t>
      </w:r>
      <w:r>
        <w:rPr>
          <w:rFonts w:ascii="楷体_GB2312" w:eastAsia="楷体_GB2312"/>
          <w:kern w:val="0"/>
          <w:sz w:val="32"/>
          <w:szCs w:val="32"/>
        </w:rPr>
        <w:t>人次</w:t>
      </w:r>
      <w:r>
        <w:rPr>
          <w:rFonts w:hint="eastAsia" w:ascii="楷体_GB2312" w:eastAsia="楷体_GB2312"/>
          <w:kern w:val="0"/>
          <w:sz w:val="32"/>
          <w:szCs w:val="32"/>
        </w:rPr>
        <w:t>。</w:t>
      </w:r>
    </w:p>
    <w:p>
      <w:pPr>
        <w:widowControl/>
        <w:ind w:firstLine="640" w:firstLineChars="200"/>
        <w:jc w:val="left"/>
        <w:rPr>
          <w:rFonts w:eastAsia="仿宋_GB2312"/>
          <w:kern w:val="0"/>
          <w:sz w:val="32"/>
          <w:szCs w:val="32"/>
        </w:rPr>
      </w:pPr>
      <w:r>
        <w:rPr>
          <w:rFonts w:hint="eastAsia" w:eastAsia="仿宋_GB2312"/>
          <w:kern w:val="0"/>
          <w:sz w:val="32"/>
          <w:szCs w:val="32"/>
        </w:rPr>
        <w:t>云南省精神病医院</w:t>
      </w:r>
      <w:r>
        <w:rPr>
          <w:rFonts w:eastAsia="仿宋_GB2312"/>
          <w:kern w:val="0"/>
          <w:sz w:val="32"/>
          <w:szCs w:val="32"/>
        </w:rPr>
        <w:t>因公出国（境）</w:t>
      </w:r>
      <w:r>
        <w:rPr>
          <w:rFonts w:hint="eastAsia" w:eastAsia="仿宋_GB2312"/>
          <w:kern w:val="0"/>
          <w:sz w:val="32"/>
          <w:szCs w:val="32"/>
        </w:rPr>
        <w:t>费与上年相比无变化。</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（二）</w:t>
      </w:r>
      <w:r>
        <w:rPr>
          <w:rFonts w:ascii="楷体_GB2312" w:eastAsia="楷体_GB2312"/>
          <w:kern w:val="0"/>
          <w:sz w:val="32"/>
          <w:szCs w:val="32"/>
        </w:rPr>
        <w:t>公务接待费</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云南省精神病医院2023年公务接待费预算</w:t>
      </w:r>
      <w:r>
        <w:rPr>
          <w:rFonts w:ascii="楷体_GB2312" w:eastAsia="楷体_GB2312"/>
          <w:kern w:val="0"/>
          <w:sz w:val="32"/>
          <w:szCs w:val="32"/>
        </w:rPr>
        <w:t>为</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%，国内公务接待批次为</w:t>
      </w:r>
      <w:r>
        <w:rPr>
          <w:rFonts w:hint="eastAsia" w:ascii="楷体_GB2312" w:eastAsia="楷体_GB2312"/>
          <w:kern w:val="0"/>
          <w:sz w:val="32"/>
          <w:szCs w:val="32"/>
        </w:rPr>
        <w:t>0</w:t>
      </w:r>
      <w:r>
        <w:rPr>
          <w:rFonts w:ascii="楷体_GB2312" w:eastAsia="楷体_GB2312"/>
          <w:kern w:val="0"/>
          <w:sz w:val="32"/>
          <w:szCs w:val="32"/>
        </w:rPr>
        <w:t>次，共计接待</w:t>
      </w:r>
      <w:r>
        <w:rPr>
          <w:rFonts w:hint="eastAsia" w:ascii="楷体_GB2312" w:eastAsia="楷体_GB2312"/>
          <w:kern w:val="0"/>
          <w:sz w:val="32"/>
          <w:szCs w:val="32"/>
        </w:rPr>
        <w:t>0</w:t>
      </w:r>
      <w:r>
        <w:rPr>
          <w:rFonts w:ascii="楷体_GB2312" w:eastAsia="楷体_GB2312"/>
          <w:kern w:val="0"/>
          <w:sz w:val="32"/>
          <w:szCs w:val="32"/>
        </w:rPr>
        <w:t>人次</w:t>
      </w:r>
      <w:r>
        <w:rPr>
          <w:rFonts w:hint="eastAsia" w:ascii="楷体_GB2312" w:eastAsia="楷体_GB2312"/>
          <w:kern w:val="0"/>
          <w:sz w:val="32"/>
          <w:szCs w:val="32"/>
        </w:rPr>
        <w:t>。</w:t>
      </w:r>
    </w:p>
    <w:p>
      <w:pPr>
        <w:widowControl/>
        <w:ind w:firstLine="640" w:firstLineChars="200"/>
        <w:jc w:val="left"/>
        <w:rPr>
          <w:rFonts w:eastAsia="仿宋_GB2312"/>
          <w:kern w:val="0"/>
          <w:sz w:val="32"/>
          <w:szCs w:val="32"/>
        </w:rPr>
      </w:pPr>
      <w:r>
        <w:rPr>
          <w:rFonts w:hint="eastAsia" w:eastAsia="仿宋_GB2312"/>
          <w:kern w:val="0"/>
          <w:sz w:val="32"/>
          <w:szCs w:val="32"/>
        </w:rPr>
        <w:t>云南省精神病医院</w:t>
      </w:r>
      <w:r>
        <w:rPr>
          <w:rFonts w:ascii="楷体_GB2312" w:eastAsia="楷体_GB2312"/>
          <w:kern w:val="0"/>
          <w:sz w:val="32"/>
          <w:szCs w:val="32"/>
        </w:rPr>
        <w:t>公务接待费</w:t>
      </w:r>
      <w:r>
        <w:rPr>
          <w:rFonts w:hint="eastAsia" w:eastAsia="仿宋_GB2312"/>
          <w:kern w:val="0"/>
          <w:sz w:val="32"/>
          <w:szCs w:val="32"/>
        </w:rPr>
        <w:t>与上年相比无变化。</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（三）</w:t>
      </w:r>
      <w:r>
        <w:rPr>
          <w:rFonts w:ascii="楷体_GB2312" w:eastAsia="楷体_GB2312"/>
          <w:kern w:val="0"/>
          <w:sz w:val="32"/>
          <w:szCs w:val="32"/>
        </w:rPr>
        <w:t>公务用车购置及运行维护费</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云南省精神病医院2023年公务用车购置及运行维护费</w:t>
      </w:r>
      <w:r>
        <w:rPr>
          <w:rFonts w:ascii="楷体_GB2312" w:eastAsia="楷体_GB2312"/>
          <w:kern w:val="0"/>
          <w:sz w:val="32"/>
          <w:szCs w:val="32"/>
        </w:rPr>
        <w:t>为</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w:t>
      </w:r>
      <w:r>
        <w:rPr>
          <w:rFonts w:hint="eastAsia" w:ascii="楷体_GB2312" w:eastAsia="楷体_GB2312"/>
          <w:kern w:val="0"/>
          <w:sz w:val="32"/>
          <w:szCs w:val="32"/>
        </w:rPr>
        <w:t>。</w:t>
      </w:r>
      <w:r>
        <w:rPr>
          <w:rFonts w:ascii="楷体_GB2312" w:eastAsia="楷体_GB2312"/>
          <w:kern w:val="0"/>
          <w:sz w:val="32"/>
          <w:szCs w:val="32"/>
        </w:rPr>
        <w:t>其中：公务用车购置费</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%；公务用车运行维护费</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%。共计购置公务用车</w:t>
      </w:r>
      <w:r>
        <w:rPr>
          <w:rFonts w:hint="eastAsia" w:ascii="楷体_GB2312" w:eastAsia="楷体_GB2312"/>
          <w:kern w:val="0"/>
          <w:sz w:val="32"/>
          <w:szCs w:val="32"/>
        </w:rPr>
        <w:t>0</w:t>
      </w:r>
      <w:r>
        <w:rPr>
          <w:rFonts w:ascii="楷体_GB2312" w:eastAsia="楷体_GB2312"/>
          <w:kern w:val="0"/>
          <w:sz w:val="32"/>
          <w:szCs w:val="32"/>
        </w:rPr>
        <w:t>辆，年末公务用车保有量为</w:t>
      </w:r>
      <w:r>
        <w:rPr>
          <w:rFonts w:hint="eastAsia" w:ascii="楷体_GB2312" w:eastAsia="楷体_GB2312"/>
          <w:kern w:val="0"/>
          <w:sz w:val="32"/>
          <w:szCs w:val="32"/>
        </w:rPr>
        <w:t>7</w:t>
      </w:r>
      <w:r>
        <w:rPr>
          <w:rFonts w:ascii="楷体_GB2312" w:eastAsia="楷体_GB2312"/>
          <w:kern w:val="0"/>
          <w:sz w:val="32"/>
          <w:szCs w:val="32"/>
        </w:rPr>
        <w:t>辆。</w:t>
      </w:r>
    </w:p>
    <w:p>
      <w:pPr>
        <w:widowControl/>
        <w:ind w:firstLine="640" w:firstLineChars="200"/>
        <w:jc w:val="left"/>
        <w:rPr>
          <w:rFonts w:ascii="楷体_GB2312" w:eastAsia="楷体_GB2312"/>
          <w:kern w:val="0"/>
          <w:sz w:val="32"/>
          <w:szCs w:val="32"/>
        </w:rPr>
      </w:pPr>
      <w:r>
        <w:rPr>
          <w:rFonts w:hint="eastAsia" w:eastAsia="仿宋_GB2312"/>
          <w:kern w:val="0"/>
          <w:sz w:val="32"/>
          <w:szCs w:val="32"/>
        </w:rPr>
        <w:t>云南省精神病医院</w:t>
      </w:r>
      <w:r>
        <w:rPr>
          <w:rFonts w:ascii="楷体_GB2312" w:eastAsia="楷体_GB2312"/>
          <w:kern w:val="0"/>
          <w:sz w:val="32"/>
          <w:szCs w:val="32"/>
        </w:rPr>
        <w:t>公务用车购置及运行维护费</w:t>
      </w:r>
      <w:r>
        <w:rPr>
          <w:rFonts w:hint="eastAsia" w:eastAsia="仿宋_GB2312"/>
          <w:kern w:val="0"/>
          <w:sz w:val="32"/>
          <w:szCs w:val="32"/>
        </w:rPr>
        <w:t>与上年相比无变化。</w:t>
      </w:r>
    </w:p>
    <w:p>
      <w:pPr>
        <w:widowControl/>
        <w:ind w:firstLine="640" w:firstLineChars="200"/>
        <w:jc w:val="left"/>
        <w:rPr>
          <w:rFonts w:ascii="黑体" w:hAnsi="黑体" w:eastAsia="黑体"/>
          <w:kern w:val="0"/>
          <w:sz w:val="32"/>
          <w:szCs w:val="32"/>
        </w:rPr>
      </w:pPr>
      <w:r>
        <w:rPr>
          <w:rFonts w:hint="eastAsia" w:ascii="黑体" w:hAnsi="黑体" w:eastAsia="黑体"/>
          <w:kern w:val="0"/>
          <w:sz w:val="32"/>
          <w:szCs w:val="32"/>
        </w:rPr>
        <w:t>八、重点项目预算绩效目标情况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昆明市城市公立医院综合改革项目、新增资产配置经费项目以及昆明市疫情防控新阶段医疗卫生人员关爱激励经费项目属于医院重点项目。重点项目预算绩效目标情况如下:</w:t>
      </w:r>
    </w:p>
    <w:p>
      <w:pPr>
        <w:pStyle w:val="2"/>
      </w:pPr>
    </w:p>
    <w:tbl>
      <w:tblPr>
        <w:tblStyle w:val="5"/>
        <w:tblW w:w="10827" w:type="dxa"/>
        <w:tblInd w:w="-1026" w:type="dxa"/>
        <w:tblLayout w:type="autofit"/>
        <w:tblCellMar>
          <w:top w:w="0" w:type="dxa"/>
          <w:left w:w="108" w:type="dxa"/>
          <w:bottom w:w="0" w:type="dxa"/>
          <w:right w:w="108" w:type="dxa"/>
        </w:tblCellMar>
      </w:tblPr>
      <w:tblGrid>
        <w:gridCol w:w="1007"/>
        <w:gridCol w:w="1080"/>
        <w:gridCol w:w="1080"/>
        <w:gridCol w:w="820"/>
        <w:gridCol w:w="1080"/>
        <w:gridCol w:w="740"/>
        <w:gridCol w:w="700"/>
        <w:gridCol w:w="700"/>
        <w:gridCol w:w="1080"/>
        <w:gridCol w:w="2540"/>
      </w:tblGrid>
      <w:tr>
        <w:tblPrEx>
          <w:tblCellMar>
            <w:top w:w="0" w:type="dxa"/>
            <w:left w:w="108" w:type="dxa"/>
            <w:bottom w:w="0" w:type="dxa"/>
            <w:right w:w="108" w:type="dxa"/>
          </w:tblCellMar>
        </w:tblPrEx>
        <w:trPr>
          <w:trHeight w:val="495" w:hRule="atLeast"/>
        </w:trPr>
        <w:tc>
          <w:tcPr>
            <w:tcW w:w="10827" w:type="dxa"/>
            <w:gridSpan w:val="10"/>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28"/>
                <w:szCs w:val="28"/>
              </w:rPr>
            </w:pPr>
            <w:r>
              <w:rPr>
                <w:rFonts w:hint="eastAsia" w:ascii="楷体_GB2312" w:eastAsia="楷体_GB2312"/>
                <w:kern w:val="0"/>
                <w:sz w:val="28"/>
                <w:szCs w:val="28"/>
              </w:rPr>
              <w:t>项目支出绩效目标表</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二级指标</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8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7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nil"/>
              <w:bottom w:val="single" w:color="000000" w:sz="4" w:space="0"/>
              <w:right w:val="nil"/>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25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项目名称</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项目年度绩效目标</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2"/>
                <w:szCs w:val="12"/>
              </w:rPr>
            </w:pPr>
            <w:r>
              <w:rPr>
                <w:rFonts w:hint="eastAsia" w:ascii="宋体" w:hAnsi="宋体" w:cs="宋体"/>
                <w:kern w:val="0"/>
                <w:sz w:val="12"/>
                <w:szCs w:val="12"/>
              </w:rPr>
              <w:t>一级指标</w:t>
            </w:r>
          </w:p>
        </w:tc>
        <w:tc>
          <w:tcPr>
            <w:tcW w:w="8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二级指标</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2"/>
                <w:szCs w:val="12"/>
              </w:rPr>
            </w:pPr>
            <w:r>
              <w:rPr>
                <w:rFonts w:hint="eastAsia" w:ascii="宋体" w:hAnsi="宋体" w:cs="宋体"/>
                <w:kern w:val="0"/>
                <w:sz w:val="12"/>
                <w:szCs w:val="12"/>
              </w:rPr>
              <w:t>三级指标</w:t>
            </w:r>
          </w:p>
        </w:tc>
        <w:tc>
          <w:tcPr>
            <w:tcW w:w="7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2"/>
                <w:szCs w:val="12"/>
              </w:rPr>
            </w:pPr>
            <w:r>
              <w:rPr>
                <w:rFonts w:hint="eastAsia" w:ascii="宋体" w:hAnsi="宋体" w:cs="宋体"/>
                <w:kern w:val="0"/>
                <w:sz w:val="12"/>
                <w:szCs w:val="12"/>
              </w:rPr>
              <w:t>指标性质</w:t>
            </w:r>
          </w:p>
        </w:tc>
        <w:tc>
          <w:tcPr>
            <w:tcW w:w="700" w:type="dxa"/>
            <w:tcBorders>
              <w:top w:val="nil"/>
              <w:left w:val="nil"/>
              <w:bottom w:val="single" w:color="000000" w:sz="4" w:space="0"/>
              <w:right w:val="nil"/>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指标值</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度量单位</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云南省精神病医院</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指标内容</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1</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2</w:t>
            </w:r>
          </w:p>
        </w:tc>
        <w:tc>
          <w:tcPr>
            <w:tcW w:w="108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3</w:t>
            </w:r>
          </w:p>
        </w:tc>
        <w:tc>
          <w:tcPr>
            <w:tcW w:w="8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4</w:t>
            </w:r>
          </w:p>
        </w:tc>
        <w:tc>
          <w:tcPr>
            <w:tcW w:w="108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5</w:t>
            </w:r>
          </w:p>
        </w:tc>
        <w:tc>
          <w:tcPr>
            <w:tcW w:w="74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6</w:t>
            </w:r>
          </w:p>
        </w:tc>
        <w:tc>
          <w:tcPr>
            <w:tcW w:w="700" w:type="dxa"/>
            <w:tcBorders>
              <w:top w:val="nil"/>
              <w:left w:val="nil"/>
              <w:bottom w:val="single" w:color="000000" w:sz="4" w:space="0"/>
              <w:right w:val="nil"/>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7</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 w:val="12"/>
                <w:szCs w:val="12"/>
              </w:rPr>
            </w:pPr>
            <w:r>
              <w:rPr>
                <w:rFonts w:hint="eastAsia" w:ascii="宋体" w:hAnsi="宋体" w:cs="宋体"/>
                <w:color w:val="000000"/>
                <w:kern w:val="0"/>
                <w:sz w:val="12"/>
                <w:szCs w:val="12"/>
              </w:rPr>
              <w:t>8</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w:t>
            </w:r>
          </w:p>
        </w:tc>
        <w:tc>
          <w:tcPr>
            <w:tcW w:w="2540" w:type="dxa"/>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8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　</w:t>
            </w:r>
          </w:p>
        </w:tc>
        <w:tc>
          <w:tcPr>
            <w:tcW w:w="2540" w:type="dxa"/>
            <w:tcBorders>
              <w:top w:val="nil"/>
              <w:left w:val="nil"/>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　</w:t>
            </w:r>
          </w:p>
        </w:tc>
      </w:tr>
      <w:tr>
        <w:tblPrEx>
          <w:tblCellMar>
            <w:top w:w="0" w:type="dxa"/>
            <w:left w:w="108" w:type="dxa"/>
            <w:bottom w:w="0" w:type="dxa"/>
            <w:right w:w="108" w:type="dxa"/>
          </w:tblCellMar>
        </w:tblPrEx>
        <w:trPr>
          <w:trHeight w:val="360" w:hRule="atLeast"/>
        </w:trPr>
        <w:tc>
          <w:tcPr>
            <w:tcW w:w="100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昆明市城市公立医院改革发展专项资金</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一、按照省级临床医学中心建设任务书完成2023年计划；二、提升医院信息化管理和网络安全水平，进一步助力医疗业务发展和管理精细化。进一步提升医院网络信息安全防范能力，提升医院安全水平和密码应用水平，提升医院信息安全管理水平，提升工作效率。实现医院感染目标性监测、细菌耐药监测、抗菌药物监测等数据汇总，以及对危险因素的研究分析，为采取有效的控制措施提供数据支撑。三、保障医院医废垃圾转运无安全事故发生，防止疾病传播，保护环境，保护人体健康。四、在2023年11月20日前基本完成本年度医疗设备的采购投入临床使用。</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8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nil"/>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篇</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发表核心期刊文章不少于10篇</w:t>
            </w:r>
          </w:p>
        </w:tc>
        <w:tc>
          <w:tcPr>
            <w:tcW w:w="254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发表英文国际期刊不少于10篇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7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出版论著</w:t>
            </w:r>
          </w:p>
        </w:tc>
        <w:tc>
          <w:tcPr>
            <w:tcW w:w="700" w:type="dxa"/>
            <w:tcBorders>
              <w:top w:val="nil"/>
              <w:left w:val="nil"/>
              <w:bottom w:val="single" w:color="000000" w:sz="4" w:space="0"/>
              <w:right w:val="nil"/>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部</w:t>
            </w:r>
          </w:p>
        </w:tc>
        <w:tc>
          <w:tcPr>
            <w:tcW w:w="2540" w:type="dxa"/>
            <w:tcBorders>
              <w:top w:val="single" w:color="000000" w:sz="4" w:space="0"/>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数量指标</w:t>
            </w:r>
          </w:p>
        </w:tc>
        <w:tc>
          <w:tcPr>
            <w:tcW w:w="1080" w:type="dxa"/>
            <w:tcBorders>
              <w:top w:val="nil"/>
              <w:left w:val="nil"/>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出版论著</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700" w:type="dxa"/>
            <w:tcBorders>
              <w:top w:val="nil"/>
              <w:left w:val="nil"/>
              <w:bottom w:val="single" w:color="000000" w:sz="4" w:space="0"/>
              <w:right w:val="nil"/>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3.48</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single" w:color="000000" w:sz="4" w:space="0"/>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82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CMI值不低于3.48</w:t>
            </w:r>
          </w:p>
        </w:tc>
        <w:tc>
          <w:tcPr>
            <w:tcW w:w="108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w:t>
            </w:r>
          </w:p>
        </w:tc>
        <w:tc>
          <w:tcPr>
            <w:tcW w:w="740" w:type="dxa"/>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&gt;=</w:t>
            </w:r>
          </w:p>
        </w:tc>
        <w:tc>
          <w:tcPr>
            <w:tcW w:w="700" w:type="dxa"/>
            <w:tcBorders>
              <w:top w:val="nil"/>
              <w:left w:val="nil"/>
              <w:bottom w:val="nil"/>
              <w:right w:val="nil"/>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3.48</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54</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组</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74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疾病组数不低于54组</w:t>
            </w:r>
          </w:p>
        </w:tc>
        <w:tc>
          <w:tcPr>
            <w:tcW w:w="70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54</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组</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定量指标</w:t>
            </w:r>
          </w:p>
        </w:tc>
        <w:tc>
          <w:tcPr>
            <w:tcW w:w="25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全成本核算软件</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全成本核算软件</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single" w:color="000000" w:sz="4" w:space="0"/>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成本管理和多视角的成本分析</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支付对账管理平台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实现对账自动化</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医院感染实时监控管理系统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感染目标检测、细菌耐药性监测、全院三管监测、抗菌药物监测等</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护理信息管理系统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护理制度建设、护理人员管理、专业小组管理、实习生管理、护理排版、护理日常管理、培训管理、考试管理等</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数据灾备扩容建设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存储空间、备份</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网络安全升级和密评应用</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网络安全设备、密码整改等</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2023年度64配排CT等40台件医疗设备购置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16</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台/套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2023年度医疗设备购置预算总额</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13220000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取消药品加成率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按政策取消药品加成</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春城名医数量</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根据实际引进人数和政策进行使用</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设备购置计划完成率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满足医疗业务和管理的信息化要求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服务能力和水平不断提高</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2023年医疗设备购置完成度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完成2023年度预算设备采购投入临床使用</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2023年医院医疗废物处置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完成2023年全年医疗废物处置工作</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取消药品加成工作检查违规次数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次</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年度内取消药品加成检查违规次数</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兑现准确率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兑现准确率</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设备验收合格率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完成网络安全升级和密评应用建设项目、数据灾备扩容建设项目、医院感染实时监控管理系统的验收</w:t>
            </w:r>
          </w:p>
        </w:tc>
      </w:tr>
      <w:tr>
        <w:tblPrEx>
          <w:tblCellMar>
            <w:top w:w="0" w:type="dxa"/>
            <w:left w:w="108" w:type="dxa"/>
            <w:bottom w:w="0" w:type="dxa"/>
            <w:right w:w="108" w:type="dxa"/>
          </w:tblCellMar>
        </w:tblPrEx>
        <w:trPr>
          <w:trHeight w:val="1488"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在2023年2月完成设备购置预向性公示，3月完成设备参数的制定，6月30日前完成招标采购，9月30日完成设备安装调试投入临床使用。</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w:t>
            </w:r>
          </w:p>
        </w:tc>
      </w:tr>
      <w:tr>
        <w:tblPrEx>
          <w:tblCellMar>
            <w:top w:w="0" w:type="dxa"/>
            <w:left w:w="108" w:type="dxa"/>
            <w:bottom w:w="0" w:type="dxa"/>
            <w:right w:w="108" w:type="dxa"/>
          </w:tblCellMar>
        </w:tblPrEx>
        <w:trPr>
          <w:trHeight w:val="90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2023年6月30日前，启动方案测定。9月30日前完成采购。11月30日前完成建设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12</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2023年度医疗设备购置预算总额</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1450000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完成64排CT等40台医疗设备的购置投入临床使用</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2023年度医院医疗废物处置总额</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500000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完成全年医疗废物处置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信息网络及软件购置更新项目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2550000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改善就医体验</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减少患者排队等候时间</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就诊医疗设备购置完成投入临床使用提高医患满意度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提高就诊患者满意度</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环保生态率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减少医院废弃物排放</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患者看病就医药品成本降低率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降低患者就医药品成本5%以内</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生态效益指标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医疗废物集中安全处置率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改善医院环境</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辐射精神卫生服务能力</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增加医院的知名度和服务能力</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补助政策为公共服务、保障人民利益提供长期保障程度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补助政策明细提高公共服务能力、保障人民利益</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专科服务对象满意度&gt;85%</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医疗设备投入临床使用，就诊患者满意度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提高就诊患者满意度</w:t>
            </w:r>
          </w:p>
        </w:tc>
      </w:tr>
      <w:tr>
        <w:tblPrEx>
          <w:tblCellMar>
            <w:top w:w="0" w:type="dxa"/>
            <w:left w:w="108" w:type="dxa"/>
            <w:bottom w:w="0" w:type="dxa"/>
            <w:right w:w="108" w:type="dxa"/>
          </w:tblCellMar>
        </w:tblPrEx>
        <w:trPr>
          <w:trHeight w:val="360" w:hRule="atLeast"/>
        </w:trPr>
        <w:tc>
          <w:tcPr>
            <w:tcW w:w="100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新增资产配置经费</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预算管理系统提高医院的报账效率，遵循培训学员日常培训标准流程，对学员规范化培训进行整体过程管理，采用信息化手段收集各类培训数据，将数据进行量化存储、统计和分析，为培训过程中形成性评价的应用提供信息化帮助，为规范医师培训管理提供有力支持。对各种心电电生理设备产生的检查数据及相关病人信息，按照统一的数据格式归档，并提供统一的数字化心电波形浏览、测量工具，对心电波形分析、报告及电生理数据的挖掘与共享。在此基础上，通过网络及接口，和其他系统实现数据共享与交互的网络系统，通过信息系统的建设，解决医院信息孤岛，实现院内信息的互联互通及外部信息共享协同，加强医院精细化管理，用信息化手段建设医院安保系统，积极推进互联网医院建设。满足不同人群的需求，提高医院的服务能力，提高社会效益，提高服务满意度。</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发表英文国际期刊文章</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篇</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发表英文国际期刊文章不少于10篇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篇</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发表核心期刊文章不少10篇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出版论著</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部</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出版论著不少于1部</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3.48</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CMI值不低于3.48</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54</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组</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疾病组数不低于54组</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全成本核算软件</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成本管理和多视角的成本分析</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2023年度64排CT等16台件医疗设备购置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16</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台</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完成64排CT等16台件医疗设备购置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支付对账管理平台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实现对账自动化</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2023年度64排CT等16台件医疗设备购置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13220000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完成64排CT等16台件医疗设备购置资金使用量</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医院感染实时监控管理系统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感染目标监测、细菌耐药性监测，全院三管监测、抗菌药物监测等</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护理信息管理系统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护理制度建设、护理人员管理、专业小组管理、实习生管理、护理排班、护理日常管理、培训管理、考试管理</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数据灾备扩容建设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存储空间、备份</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网络安全升级和密评应用</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网络安全设备、密码整改等</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购置计划完成率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提高健康水平</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顺利完成指标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完成规培医师培训</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历史数据及其他相关专科医院的数据参考</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2023年度医疗设备购置完成情况</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64排CT等16台件医疗设备购置完成度</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满足医疗业务和管理的信息化要求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服务能力和水平不断提高</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设备验收通过率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完成网络安全升级和密评应用建设项目、数据灾备扩容建设项目、医院感染实时监控管理系统的验收</w:t>
            </w:r>
          </w:p>
        </w:tc>
      </w:tr>
      <w:tr>
        <w:tblPrEx>
          <w:tblCellMar>
            <w:top w:w="0" w:type="dxa"/>
            <w:left w:w="108" w:type="dxa"/>
            <w:bottom w:w="0" w:type="dxa"/>
            <w:right w:w="108" w:type="dxa"/>
          </w:tblCellMar>
        </w:tblPrEx>
        <w:trPr>
          <w:trHeight w:val="162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2023年预算期内设备购置：2023年2月20日前完成采购预向性公示，3月31日完成设备参数制定，6月30日设备采购完成度达50%以上，9月30日采购完成度达90%.</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在时限内完成64排CT等16台件医疗设备购置投入临床使用</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2023年预算期内完成办公家具、家电购置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12</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医院科室申请购置完成度</w:t>
            </w:r>
          </w:p>
        </w:tc>
      </w:tr>
      <w:tr>
        <w:tblPrEx>
          <w:tblCellMar>
            <w:top w:w="0" w:type="dxa"/>
            <w:left w:w="108" w:type="dxa"/>
            <w:bottom w:w="0" w:type="dxa"/>
            <w:right w:w="108" w:type="dxa"/>
          </w:tblCellMar>
        </w:tblPrEx>
        <w:trPr>
          <w:trHeight w:val="90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2023年6月30日前，启动方案测定。9月30日前完成采购。11月30日前完成建设。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12</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计算机、各种型号打印机、网络安全升级和密评应用建设项目、数据灾备扩容建设项目、医院感染实时监控管理系统等的完成购置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专用设备购置项目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11652000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完成液相色谱串联质谱系统（血药浓度分析）带样本前处理、64排X线计算机断层扫描仪等设备采购。</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信息网络及软件购置更新项目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5212600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完成计算机、各种型号打印机、网络安全升级和密评应用建设项目、数据灾备扩容建设项目、医院感染实时监控管理系统等的购置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经济效益指标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根据国家物价标准进行收费</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持续增长，提高工作效益</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满足人民健康需求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完善，提高政府形象，满足不同人群需求</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改善就医体验</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减少患者排队等待时间</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设备利用率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计算机、各种型号打印机、网络安全升级和密评应用建设项目、数据灾备扩容建设项目、医院感染实时监控管理系统等的利用率、使用率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生态效益指标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满足人民健康需求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顺利完成指标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医疗废物处理</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顺利完成指标</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设备使用年限</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年</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计算机、各种型号打印机、网络安全升级和密评应用建设项目、数据灾备扩容建设项目、医院感染实时监控管理系统等的使用年限</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提高社会效益，满足人民不同需要</w:t>
            </w:r>
          </w:p>
        </w:tc>
      </w:tr>
      <w:tr>
        <w:tblPrEx>
          <w:tblCellMar>
            <w:top w:w="0" w:type="dxa"/>
            <w:left w:w="108" w:type="dxa"/>
            <w:bottom w:w="0" w:type="dxa"/>
            <w:right w:w="108" w:type="dxa"/>
          </w:tblCellMar>
        </w:tblPrEx>
        <w:trPr>
          <w:trHeight w:val="540" w:hRule="atLeast"/>
        </w:trPr>
        <w:tc>
          <w:tcPr>
            <w:tcW w:w="100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昆明市疫情防控新阶段医疗卫生人员关爱激励经费</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按照上级文件精神要求，做好对传染病疫情防治人员临时性工资补助，发放标准为每人3300元（参照临时性工作补助一类二档每人每天200元标准，和上海市营养补助每人每天20元标准，时间按救治压力较大的2022年12月11日至25日共计15天测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人员标准</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3300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元/人</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人员数量</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591</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资金到位率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支出标准</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3300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元/人</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疫情防控能力</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提升</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365"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bl>
    <w:p>
      <w:pPr>
        <w:pStyle w:val="2"/>
      </w:pPr>
    </w:p>
    <w:p>
      <w:pPr>
        <w:widowControl/>
        <w:ind w:firstLine="640" w:firstLineChars="200"/>
        <w:jc w:val="left"/>
        <w:rPr>
          <w:rFonts w:ascii="黑体" w:hAnsi="黑体" w:eastAsia="黑体"/>
          <w:kern w:val="0"/>
          <w:sz w:val="32"/>
          <w:szCs w:val="32"/>
        </w:rPr>
      </w:pPr>
      <w:r>
        <w:rPr>
          <w:rFonts w:hint="eastAsia" w:ascii="黑体" w:hAnsi="黑体" w:eastAsia="黑体"/>
          <w:kern w:val="0"/>
          <w:sz w:val="32"/>
          <w:szCs w:val="32"/>
        </w:rPr>
        <w:t>九</w:t>
      </w:r>
      <w:r>
        <w:rPr>
          <w:rFonts w:ascii="黑体" w:hAnsi="黑体" w:eastAsia="黑体"/>
          <w:kern w:val="0"/>
          <w:sz w:val="32"/>
          <w:szCs w:val="32"/>
        </w:rPr>
        <w:t>、其他公开信息</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（一）专业名词解释</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1、机关运行经费：是指各部门的公用经费，包括办公及印刷费、邮电费、差旅费、会议费、福利费、日常维修费、专用材料及一般设备购置费、办公用房水电费、办公用房取暖费、办公用房物业管理费、公务用车运行维护费及其他费用。</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2、基本支出：指单位为保障其机构正常运转、完成日常工作任务而发生的人员支出和公用支出。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3、项目支出：指单位为完成特定行政任务和事业发展目标在基本支出之外所发生的支出。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4、“三公经费”：纳入省财政预算管理的“三公”经费，是指用一般公共预算拨款安排的公务接待费、公务用车购置及运行维护费和因公出国（境）费。其中，公务接待费反映单位按规定开支的各类接待支出；公务用车购置及运行费反映单位公务用车车辆购置支出（含车辆购置税），以及燃料费、维修费、保险费等支出；因公出国（境）费反映单位公务出国（境）的国际旅游费、国外城市间交通费、食宿费等支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5、一般公共预算：一般公共预算是对以税收为主体的财政收入，安排用于保障和改善民生、推动经济社会发展、维护国家安全、维持国家机构正常运转等方面的收支预算。</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6、政府性基金预算：政府性基金预算是国家通过向社会征收以及出让土地、发行彩票等方式取得收入，并专项用于支持特定基础设施建设和社会事业发展的财政收支预算，是政府预算体系的重要组成部分。</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7、政府采购制度。是指各级国家机关、事业单位和团体组织，使用财政性资金采购依法制定的集中采购目录以内的或者采购限额标准以上的货物、工程和服务的行为。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8、财政预算拨款：指财政部门用一般预算收入安排的预算单位资金。</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（二）机关运行经费安排</w:t>
      </w:r>
      <w:r>
        <w:rPr>
          <w:rFonts w:hint="eastAsia" w:ascii="楷体_GB2312" w:eastAsia="楷体_GB2312"/>
          <w:kern w:val="0"/>
          <w:sz w:val="32"/>
          <w:szCs w:val="32"/>
        </w:rPr>
        <w:t>变化情况及原因说明</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云南省精神病医院为非参公管理事业单位，故无机关运行经费。</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（三）</w:t>
      </w:r>
      <w:r>
        <w:rPr>
          <w:rFonts w:ascii="楷体_GB2312" w:eastAsia="楷体_GB2312"/>
          <w:kern w:val="0"/>
          <w:sz w:val="32"/>
          <w:szCs w:val="32"/>
        </w:rPr>
        <w:t>国有资产占</w:t>
      </w:r>
      <w:r>
        <w:rPr>
          <w:rFonts w:hint="eastAsia" w:ascii="楷体_GB2312" w:eastAsia="楷体_GB2312"/>
          <w:kern w:val="0"/>
          <w:sz w:val="32"/>
          <w:szCs w:val="32"/>
        </w:rPr>
        <w:t>有使用</w:t>
      </w:r>
      <w:r>
        <w:rPr>
          <w:rFonts w:ascii="楷体_GB2312" w:eastAsia="楷体_GB2312"/>
          <w:kern w:val="0"/>
          <w:sz w:val="32"/>
          <w:szCs w:val="32"/>
        </w:rPr>
        <w:t>情况</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截至2022年12月31日，云南省精神病医院部门资产总额38054.67万元，其中，流动资产20644.94万元，固定资产16327.36万元，对外投资及有价证券0万元，在建工程0万元，无形资产1082.38万元，其他资产0万元。与上年相比，本年资产总额增加4539.62万元，其中固定资产增加269.06万元，无形资产增加432.95万元，流动资产增加3837.61万元。处置房屋建筑物0平方米，账面原值0万元；处置车辆0辆，账面原值0万元；报废报损资产178项，账面原值372.13万元，实现资产处置收入0万元；资产使用收入0万元，其中出租资产55平方米，资产出租收入22.2万元。鉴于截至2022年12月31日的国有资产占有使用精准数据，需在完成2022年决算编制后才能汇总，此处公开为2022年12月（2023年1月上报）资产月报数。</w:t>
      </w:r>
    </w:p>
    <w:p>
      <w:pPr>
        <w:rPr>
          <w:rFonts w:ascii="Arial" w:hAnsi="Arial" w:eastAsia="Arial" w:cs="Arial"/>
          <w:b/>
          <w:sz w:val="36"/>
        </w:rPr>
      </w:pPr>
      <w:r>
        <w:rPr>
          <w:rFonts w:ascii="Arial" w:hAnsi="Arial" w:eastAsia="Arial" w:cs="Arial"/>
          <w:b/>
          <w:sz w:val="36"/>
        </w:rPr>
        <w:t>监督索引号53010000636301900111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066726"/>
    <w:multiLevelType w:val="multilevel"/>
    <w:tmpl w:val="4B066726"/>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C47DBBF"/>
    <w:multiLevelType w:val="singleLevel"/>
    <w:tmpl w:val="5C47DBBF"/>
    <w:lvl w:ilvl="0" w:tentative="0">
      <w:start w:val="4"/>
      <w:numFmt w:val="chineseCounting"/>
      <w:suff w:val="nothing"/>
      <w:lvlText w:val="%1、"/>
      <w:lvlJc w:val="left"/>
    </w:lvl>
  </w:abstractNum>
  <w:abstractNum w:abstractNumId="2">
    <w:nsid w:val="5C47DC0A"/>
    <w:multiLevelType w:val="singleLevel"/>
    <w:tmpl w:val="5C47DC0A"/>
    <w:lvl w:ilvl="0" w:tentative="0">
      <w:start w:val="5"/>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4NDU4ZDY3MjM5ZGU1OGVlYWRiYmVhMGZkMjZmMzUifQ=="/>
  </w:docVars>
  <w:rsids>
    <w:rsidRoot w:val="000940CA"/>
    <w:rsid w:val="0001071D"/>
    <w:rsid w:val="0001219A"/>
    <w:rsid w:val="0001710F"/>
    <w:rsid w:val="00021048"/>
    <w:rsid w:val="00025E2D"/>
    <w:rsid w:val="00044875"/>
    <w:rsid w:val="00044C85"/>
    <w:rsid w:val="000619AD"/>
    <w:rsid w:val="0006611A"/>
    <w:rsid w:val="000668CD"/>
    <w:rsid w:val="00081D58"/>
    <w:rsid w:val="00085475"/>
    <w:rsid w:val="00090FD8"/>
    <w:rsid w:val="000940CA"/>
    <w:rsid w:val="00095614"/>
    <w:rsid w:val="000A4649"/>
    <w:rsid w:val="000C4EB0"/>
    <w:rsid w:val="000C6333"/>
    <w:rsid w:val="000D12DD"/>
    <w:rsid w:val="00104738"/>
    <w:rsid w:val="0011442E"/>
    <w:rsid w:val="0012685D"/>
    <w:rsid w:val="00143435"/>
    <w:rsid w:val="001469A1"/>
    <w:rsid w:val="001473E3"/>
    <w:rsid w:val="00154726"/>
    <w:rsid w:val="001802CE"/>
    <w:rsid w:val="001817A7"/>
    <w:rsid w:val="00183134"/>
    <w:rsid w:val="001832B7"/>
    <w:rsid w:val="00187BCA"/>
    <w:rsid w:val="00192D07"/>
    <w:rsid w:val="001A0573"/>
    <w:rsid w:val="001A47FF"/>
    <w:rsid w:val="001B5D87"/>
    <w:rsid w:val="001C2169"/>
    <w:rsid w:val="001C7368"/>
    <w:rsid w:val="001D0DA8"/>
    <w:rsid w:val="001D21C6"/>
    <w:rsid w:val="001E17C7"/>
    <w:rsid w:val="001F45DA"/>
    <w:rsid w:val="001F501A"/>
    <w:rsid w:val="002063D0"/>
    <w:rsid w:val="002313BB"/>
    <w:rsid w:val="00245C2B"/>
    <w:rsid w:val="002662DF"/>
    <w:rsid w:val="00267044"/>
    <w:rsid w:val="00276D25"/>
    <w:rsid w:val="00277270"/>
    <w:rsid w:val="00287EAF"/>
    <w:rsid w:val="00294017"/>
    <w:rsid w:val="002A44E2"/>
    <w:rsid w:val="002A726B"/>
    <w:rsid w:val="002B1A9B"/>
    <w:rsid w:val="002B287A"/>
    <w:rsid w:val="002C5FC1"/>
    <w:rsid w:val="002D1B64"/>
    <w:rsid w:val="002F72F2"/>
    <w:rsid w:val="002F7775"/>
    <w:rsid w:val="003028EE"/>
    <w:rsid w:val="00307E9D"/>
    <w:rsid w:val="00312BBA"/>
    <w:rsid w:val="0032056C"/>
    <w:rsid w:val="003337BD"/>
    <w:rsid w:val="003507D0"/>
    <w:rsid w:val="0035270E"/>
    <w:rsid w:val="00355DAA"/>
    <w:rsid w:val="00380FAC"/>
    <w:rsid w:val="00385AA6"/>
    <w:rsid w:val="00397CCC"/>
    <w:rsid w:val="003D031F"/>
    <w:rsid w:val="003D34D3"/>
    <w:rsid w:val="003D50CF"/>
    <w:rsid w:val="003D5206"/>
    <w:rsid w:val="003E6907"/>
    <w:rsid w:val="003F28EC"/>
    <w:rsid w:val="00401EE7"/>
    <w:rsid w:val="00432795"/>
    <w:rsid w:val="004327B2"/>
    <w:rsid w:val="00437071"/>
    <w:rsid w:val="00450BA1"/>
    <w:rsid w:val="00453158"/>
    <w:rsid w:val="004545AE"/>
    <w:rsid w:val="0046598B"/>
    <w:rsid w:val="00487F39"/>
    <w:rsid w:val="004923AC"/>
    <w:rsid w:val="004926DB"/>
    <w:rsid w:val="00493F65"/>
    <w:rsid w:val="00497D1C"/>
    <w:rsid w:val="004A18FF"/>
    <w:rsid w:val="004B09FE"/>
    <w:rsid w:val="004C27A7"/>
    <w:rsid w:val="004D6D17"/>
    <w:rsid w:val="004E409F"/>
    <w:rsid w:val="004E72D9"/>
    <w:rsid w:val="004E75C2"/>
    <w:rsid w:val="004F04A6"/>
    <w:rsid w:val="00501D6F"/>
    <w:rsid w:val="005103E1"/>
    <w:rsid w:val="00513B17"/>
    <w:rsid w:val="0051756C"/>
    <w:rsid w:val="00522B08"/>
    <w:rsid w:val="0054075C"/>
    <w:rsid w:val="005416A2"/>
    <w:rsid w:val="00545D56"/>
    <w:rsid w:val="00546B78"/>
    <w:rsid w:val="005524AB"/>
    <w:rsid w:val="00586071"/>
    <w:rsid w:val="0059051F"/>
    <w:rsid w:val="005A7020"/>
    <w:rsid w:val="005C69DF"/>
    <w:rsid w:val="005D2AA5"/>
    <w:rsid w:val="005E2CBB"/>
    <w:rsid w:val="005E51CB"/>
    <w:rsid w:val="005E63B0"/>
    <w:rsid w:val="005F375A"/>
    <w:rsid w:val="005F7619"/>
    <w:rsid w:val="00602EA4"/>
    <w:rsid w:val="00606734"/>
    <w:rsid w:val="006218B9"/>
    <w:rsid w:val="00624321"/>
    <w:rsid w:val="0063608B"/>
    <w:rsid w:val="0063630E"/>
    <w:rsid w:val="00642239"/>
    <w:rsid w:val="0066039B"/>
    <w:rsid w:val="00662146"/>
    <w:rsid w:val="0067060D"/>
    <w:rsid w:val="00675846"/>
    <w:rsid w:val="00677931"/>
    <w:rsid w:val="00677F62"/>
    <w:rsid w:val="006816A5"/>
    <w:rsid w:val="0068711F"/>
    <w:rsid w:val="00690B48"/>
    <w:rsid w:val="006974D3"/>
    <w:rsid w:val="006B4369"/>
    <w:rsid w:val="006D1550"/>
    <w:rsid w:val="006D55C7"/>
    <w:rsid w:val="006E0DAB"/>
    <w:rsid w:val="006F1FB4"/>
    <w:rsid w:val="006F2F62"/>
    <w:rsid w:val="006F32B5"/>
    <w:rsid w:val="00702C20"/>
    <w:rsid w:val="00720603"/>
    <w:rsid w:val="007276F5"/>
    <w:rsid w:val="00731EDD"/>
    <w:rsid w:val="0073645C"/>
    <w:rsid w:val="00744377"/>
    <w:rsid w:val="00762D01"/>
    <w:rsid w:val="00765933"/>
    <w:rsid w:val="007672B2"/>
    <w:rsid w:val="007759B8"/>
    <w:rsid w:val="00790317"/>
    <w:rsid w:val="00792F86"/>
    <w:rsid w:val="00794353"/>
    <w:rsid w:val="00795683"/>
    <w:rsid w:val="0079758E"/>
    <w:rsid w:val="007B5244"/>
    <w:rsid w:val="007B734F"/>
    <w:rsid w:val="007C65BF"/>
    <w:rsid w:val="007E4639"/>
    <w:rsid w:val="007E4FA1"/>
    <w:rsid w:val="00806465"/>
    <w:rsid w:val="00810983"/>
    <w:rsid w:val="00813671"/>
    <w:rsid w:val="008146BF"/>
    <w:rsid w:val="00821EC4"/>
    <w:rsid w:val="008222C6"/>
    <w:rsid w:val="00825D7A"/>
    <w:rsid w:val="008273B9"/>
    <w:rsid w:val="00831E99"/>
    <w:rsid w:val="00832299"/>
    <w:rsid w:val="00860DC9"/>
    <w:rsid w:val="008637D1"/>
    <w:rsid w:val="00867528"/>
    <w:rsid w:val="00891F2A"/>
    <w:rsid w:val="008A21A8"/>
    <w:rsid w:val="008A516E"/>
    <w:rsid w:val="008A771D"/>
    <w:rsid w:val="008B1393"/>
    <w:rsid w:val="008C6C4C"/>
    <w:rsid w:val="008D481B"/>
    <w:rsid w:val="008E11DD"/>
    <w:rsid w:val="008E2353"/>
    <w:rsid w:val="008E3AF9"/>
    <w:rsid w:val="008E4463"/>
    <w:rsid w:val="009028F3"/>
    <w:rsid w:val="009034B9"/>
    <w:rsid w:val="00905029"/>
    <w:rsid w:val="009321A7"/>
    <w:rsid w:val="00944C09"/>
    <w:rsid w:val="009459F8"/>
    <w:rsid w:val="0095103E"/>
    <w:rsid w:val="00961276"/>
    <w:rsid w:val="00965431"/>
    <w:rsid w:val="00976172"/>
    <w:rsid w:val="00993BC1"/>
    <w:rsid w:val="00995B33"/>
    <w:rsid w:val="009C0A12"/>
    <w:rsid w:val="009C3BF7"/>
    <w:rsid w:val="009E597A"/>
    <w:rsid w:val="009F4282"/>
    <w:rsid w:val="009F72DD"/>
    <w:rsid w:val="00A0170B"/>
    <w:rsid w:val="00A103DF"/>
    <w:rsid w:val="00A15095"/>
    <w:rsid w:val="00A31793"/>
    <w:rsid w:val="00A45A2A"/>
    <w:rsid w:val="00A46317"/>
    <w:rsid w:val="00A5004A"/>
    <w:rsid w:val="00A60BD6"/>
    <w:rsid w:val="00A63B1A"/>
    <w:rsid w:val="00A67D72"/>
    <w:rsid w:val="00A71A95"/>
    <w:rsid w:val="00A720A9"/>
    <w:rsid w:val="00A7319F"/>
    <w:rsid w:val="00A73B70"/>
    <w:rsid w:val="00A77A8A"/>
    <w:rsid w:val="00A80C1E"/>
    <w:rsid w:val="00A84B1D"/>
    <w:rsid w:val="00A92B58"/>
    <w:rsid w:val="00A93829"/>
    <w:rsid w:val="00A93EBA"/>
    <w:rsid w:val="00A9769E"/>
    <w:rsid w:val="00AA5AA9"/>
    <w:rsid w:val="00AB34C8"/>
    <w:rsid w:val="00AC01E2"/>
    <w:rsid w:val="00AC4EC3"/>
    <w:rsid w:val="00AD13AD"/>
    <w:rsid w:val="00AD27A6"/>
    <w:rsid w:val="00AD5380"/>
    <w:rsid w:val="00AD75A6"/>
    <w:rsid w:val="00AD772F"/>
    <w:rsid w:val="00AF29A7"/>
    <w:rsid w:val="00AF3AEA"/>
    <w:rsid w:val="00AF60A4"/>
    <w:rsid w:val="00B04EBF"/>
    <w:rsid w:val="00B078C7"/>
    <w:rsid w:val="00B553C1"/>
    <w:rsid w:val="00B57701"/>
    <w:rsid w:val="00B61737"/>
    <w:rsid w:val="00B73DC3"/>
    <w:rsid w:val="00B73F2B"/>
    <w:rsid w:val="00B900A3"/>
    <w:rsid w:val="00BA6C9D"/>
    <w:rsid w:val="00BB5F0C"/>
    <w:rsid w:val="00BB7318"/>
    <w:rsid w:val="00BF0B91"/>
    <w:rsid w:val="00BF3A36"/>
    <w:rsid w:val="00BF5EA7"/>
    <w:rsid w:val="00C12EB8"/>
    <w:rsid w:val="00C27DF8"/>
    <w:rsid w:val="00C315A3"/>
    <w:rsid w:val="00C359BC"/>
    <w:rsid w:val="00C37F18"/>
    <w:rsid w:val="00C50A60"/>
    <w:rsid w:val="00C7479E"/>
    <w:rsid w:val="00C94863"/>
    <w:rsid w:val="00CB15D3"/>
    <w:rsid w:val="00CB381C"/>
    <w:rsid w:val="00CC715B"/>
    <w:rsid w:val="00CD2507"/>
    <w:rsid w:val="00CD3464"/>
    <w:rsid w:val="00CD40DB"/>
    <w:rsid w:val="00CD4A58"/>
    <w:rsid w:val="00CE3009"/>
    <w:rsid w:val="00CE5235"/>
    <w:rsid w:val="00CF4CEC"/>
    <w:rsid w:val="00D206A0"/>
    <w:rsid w:val="00D32463"/>
    <w:rsid w:val="00D364D9"/>
    <w:rsid w:val="00D37DDA"/>
    <w:rsid w:val="00D6166E"/>
    <w:rsid w:val="00D73662"/>
    <w:rsid w:val="00D73F2D"/>
    <w:rsid w:val="00D75808"/>
    <w:rsid w:val="00D83FB3"/>
    <w:rsid w:val="00D84278"/>
    <w:rsid w:val="00D9313E"/>
    <w:rsid w:val="00DA4359"/>
    <w:rsid w:val="00DC3B0E"/>
    <w:rsid w:val="00DC6D11"/>
    <w:rsid w:val="00DE6852"/>
    <w:rsid w:val="00DF490C"/>
    <w:rsid w:val="00DF5AA7"/>
    <w:rsid w:val="00E05AD2"/>
    <w:rsid w:val="00E31137"/>
    <w:rsid w:val="00E33A74"/>
    <w:rsid w:val="00E603AA"/>
    <w:rsid w:val="00E60588"/>
    <w:rsid w:val="00E70529"/>
    <w:rsid w:val="00E70C7B"/>
    <w:rsid w:val="00E764A1"/>
    <w:rsid w:val="00E869A4"/>
    <w:rsid w:val="00EB4D6A"/>
    <w:rsid w:val="00EC4759"/>
    <w:rsid w:val="00EE682D"/>
    <w:rsid w:val="00EE7798"/>
    <w:rsid w:val="00EF429E"/>
    <w:rsid w:val="00EF6A50"/>
    <w:rsid w:val="00F022F4"/>
    <w:rsid w:val="00F02733"/>
    <w:rsid w:val="00F05516"/>
    <w:rsid w:val="00F07560"/>
    <w:rsid w:val="00F3161B"/>
    <w:rsid w:val="00F516CA"/>
    <w:rsid w:val="00F56FFB"/>
    <w:rsid w:val="00F64BF0"/>
    <w:rsid w:val="00F70B75"/>
    <w:rsid w:val="00F70E63"/>
    <w:rsid w:val="00F80C55"/>
    <w:rsid w:val="00F966F7"/>
    <w:rsid w:val="00FB6E0B"/>
    <w:rsid w:val="00FE32FC"/>
    <w:rsid w:val="00FE3B8D"/>
    <w:rsid w:val="00FE42E6"/>
    <w:rsid w:val="00FE705B"/>
    <w:rsid w:val="00FF39A6"/>
    <w:rsid w:val="00FF7823"/>
    <w:rsid w:val="25EB3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semiHidden/>
    <w:unhideWhenUsed/>
    <w:qFormat/>
    <w:uiPriority w:val="99"/>
    <w:pPr>
      <w:spacing w:after="12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800080"/>
      <w:u w:val="single"/>
    </w:rPr>
  </w:style>
  <w:style w:type="character" w:styleId="8">
    <w:name w:val="Hyperlink"/>
    <w:basedOn w:val="6"/>
    <w:semiHidden/>
    <w:unhideWhenUsed/>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uiPriority w:val="99"/>
    <w:rPr>
      <w:sz w:val="18"/>
      <w:szCs w:val="18"/>
    </w:rPr>
  </w:style>
  <w:style w:type="character" w:customStyle="1" w:styleId="11">
    <w:name w:val="正文文本 Char"/>
    <w:basedOn w:val="6"/>
    <w:link w:val="2"/>
    <w:semiHidden/>
    <w:qFormat/>
    <w:uiPriority w:val="99"/>
    <w:rPr>
      <w:rFonts w:ascii="Times New Roman" w:hAnsi="Times New Roman" w:eastAsia="宋体" w:cs="Times New Roman"/>
      <w:szCs w:val="24"/>
    </w:rPr>
  </w:style>
  <w:style w:type="paragraph" w:customStyle="1" w:styleId="1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3">
    <w:name w:val="font6"/>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4">
    <w:name w:val="xl64"/>
    <w:basedOn w:val="1"/>
    <w:uiPriority w:val="0"/>
    <w:pPr>
      <w:widowControl/>
      <w:spacing w:before="100" w:beforeAutospacing="1" w:after="100" w:afterAutospacing="1"/>
      <w:jc w:val="left"/>
    </w:pPr>
    <w:rPr>
      <w:rFonts w:ascii="宋体" w:hAnsi="宋体" w:cs="宋体"/>
      <w:kern w:val="0"/>
      <w:sz w:val="12"/>
      <w:szCs w:val="12"/>
    </w:rPr>
  </w:style>
  <w:style w:type="paragraph" w:customStyle="1" w:styleId="15">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2"/>
      <w:szCs w:val="12"/>
    </w:rPr>
  </w:style>
  <w:style w:type="paragraph" w:customStyle="1" w:styleId="16">
    <w:name w:val="xl66"/>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2"/>
      <w:szCs w:val="12"/>
    </w:rPr>
  </w:style>
  <w:style w:type="paragraph" w:customStyle="1" w:styleId="17">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2"/>
      <w:szCs w:val="12"/>
    </w:rPr>
  </w:style>
  <w:style w:type="paragraph" w:customStyle="1" w:styleId="18">
    <w:name w:val="xl68"/>
    <w:basedOn w:val="1"/>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left"/>
    </w:pPr>
    <w:rPr>
      <w:rFonts w:ascii="宋体" w:hAnsi="宋体" w:cs="宋体"/>
      <w:color w:val="000000"/>
      <w:kern w:val="0"/>
      <w:sz w:val="12"/>
      <w:szCs w:val="12"/>
    </w:rPr>
  </w:style>
  <w:style w:type="paragraph" w:customStyle="1" w:styleId="19">
    <w:name w:val="xl69"/>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ascii="宋体" w:hAnsi="宋体" w:cs="宋体"/>
      <w:color w:val="000000"/>
      <w:kern w:val="0"/>
      <w:sz w:val="12"/>
      <w:szCs w:val="12"/>
    </w:rPr>
  </w:style>
  <w:style w:type="paragraph" w:customStyle="1" w:styleId="20">
    <w:name w:val="xl70"/>
    <w:basedOn w:val="1"/>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宋体" w:hAnsi="宋体" w:cs="宋体"/>
      <w:color w:val="000000"/>
      <w:kern w:val="0"/>
      <w:sz w:val="12"/>
      <w:szCs w:val="12"/>
    </w:rPr>
  </w:style>
  <w:style w:type="paragraph" w:customStyle="1" w:styleId="21">
    <w:name w:val="xl71"/>
    <w:basedOn w:val="1"/>
    <w:qFormat/>
    <w:uiPriority w:val="0"/>
    <w:pPr>
      <w:widowControl/>
      <w:pBdr>
        <w:top w:val="single" w:color="000000" w:sz="4" w:space="0"/>
        <w:left w:val="single" w:color="000000" w:sz="4" w:space="0"/>
        <w:bottom w:val="single" w:color="000000" w:sz="4" w:space="0"/>
      </w:pBdr>
      <w:shd w:val="clear" w:color="000000" w:fill="FFFFFF"/>
      <w:spacing w:before="100" w:beforeAutospacing="1" w:after="100" w:afterAutospacing="1"/>
      <w:jc w:val="left"/>
    </w:pPr>
    <w:rPr>
      <w:rFonts w:ascii="宋体" w:hAnsi="宋体" w:cs="宋体"/>
      <w:color w:val="000000"/>
      <w:kern w:val="0"/>
      <w:sz w:val="12"/>
      <w:szCs w:val="12"/>
    </w:rPr>
  </w:style>
  <w:style w:type="paragraph" w:customStyle="1" w:styleId="22">
    <w:name w:val="xl72"/>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2"/>
      <w:szCs w:val="12"/>
    </w:rPr>
  </w:style>
  <w:style w:type="paragraph" w:customStyle="1" w:styleId="23">
    <w:name w:val="xl73"/>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2"/>
      <w:szCs w:val="12"/>
    </w:rPr>
  </w:style>
  <w:style w:type="paragraph" w:customStyle="1" w:styleId="24">
    <w:name w:val="xl74"/>
    <w:basedOn w:val="1"/>
    <w:uiPriority w:val="0"/>
    <w:pPr>
      <w:widowControl/>
      <w:pBdr>
        <w:top w:val="single" w:color="000000" w:sz="4" w:space="0"/>
        <w:right w:val="single" w:color="000000" w:sz="4" w:space="0"/>
      </w:pBdr>
      <w:spacing w:before="100" w:beforeAutospacing="1" w:after="100" w:afterAutospacing="1"/>
      <w:jc w:val="left"/>
    </w:pPr>
    <w:rPr>
      <w:rFonts w:ascii="宋体" w:hAnsi="宋体" w:cs="宋体"/>
      <w:color w:val="000000"/>
      <w:kern w:val="0"/>
      <w:sz w:val="12"/>
      <w:szCs w:val="12"/>
    </w:rPr>
  </w:style>
  <w:style w:type="paragraph" w:customStyle="1" w:styleId="25">
    <w:name w:val="xl75"/>
    <w:basedOn w:val="1"/>
    <w:qFormat/>
    <w:uiPriority w:val="0"/>
    <w:pPr>
      <w:widowControl/>
      <w:pBdr>
        <w:top w:val="single" w:color="000000" w:sz="4" w:space="0"/>
        <w:bottom w:val="single" w:color="000000" w:sz="4" w:space="0"/>
        <w:right w:val="single" w:color="000000" w:sz="4" w:space="0"/>
      </w:pBdr>
      <w:shd w:val="clear" w:color="000000" w:fill="FFFFFF"/>
      <w:spacing w:before="100" w:beforeAutospacing="1" w:after="100" w:afterAutospacing="1"/>
      <w:jc w:val="left"/>
    </w:pPr>
    <w:rPr>
      <w:rFonts w:ascii="宋体" w:hAnsi="宋体" w:cs="宋体"/>
      <w:color w:val="000000"/>
      <w:kern w:val="0"/>
      <w:sz w:val="12"/>
      <w:szCs w:val="12"/>
    </w:rPr>
  </w:style>
  <w:style w:type="paragraph" w:customStyle="1" w:styleId="26">
    <w:name w:val="xl76"/>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2"/>
      <w:szCs w:val="12"/>
    </w:rPr>
  </w:style>
  <w:style w:type="paragraph" w:customStyle="1" w:styleId="27">
    <w:name w:val="xl77"/>
    <w:basedOn w:val="1"/>
    <w:qFormat/>
    <w:uiPriority w:val="0"/>
    <w:pPr>
      <w:widowControl/>
      <w:pBdr>
        <w:left w:val="single" w:color="000000" w:sz="4" w:space="0"/>
        <w:bottom w:val="single" w:color="000000" w:sz="4" w:space="0"/>
        <w:right w:val="single" w:color="000000" w:sz="4" w:space="0"/>
      </w:pBdr>
      <w:shd w:val="clear" w:color="000000" w:fill="FFFFFF"/>
      <w:spacing w:before="100" w:beforeAutospacing="1" w:after="100" w:afterAutospacing="1"/>
      <w:jc w:val="left"/>
    </w:pPr>
    <w:rPr>
      <w:rFonts w:ascii="宋体" w:hAnsi="宋体" w:cs="宋体"/>
      <w:color w:val="000000"/>
      <w:kern w:val="0"/>
      <w:sz w:val="12"/>
      <w:szCs w:val="12"/>
    </w:rPr>
  </w:style>
  <w:style w:type="paragraph" w:customStyle="1" w:styleId="28">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2"/>
      <w:szCs w:val="12"/>
    </w:rPr>
  </w:style>
  <w:style w:type="paragraph" w:customStyle="1" w:styleId="29">
    <w:name w:val="xl7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2"/>
      <w:szCs w:val="12"/>
    </w:rPr>
  </w:style>
  <w:style w:type="paragraph" w:customStyle="1" w:styleId="3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2"/>
      <w:szCs w:val="12"/>
    </w:rPr>
  </w:style>
  <w:style w:type="paragraph" w:customStyle="1" w:styleId="3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2"/>
      <w:szCs w:val="12"/>
    </w:rPr>
  </w:style>
  <w:style w:type="paragraph" w:customStyle="1" w:styleId="32">
    <w:name w:val="xl82"/>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left"/>
    </w:pPr>
    <w:rPr>
      <w:rFonts w:ascii="宋体" w:hAnsi="宋体" w:cs="宋体"/>
      <w:color w:val="000000"/>
      <w:kern w:val="0"/>
      <w:sz w:val="12"/>
      <w:szCs w:val="12"/>
    </w:rPr>
  </w:style>
  <w:style w:type="paragraph" w:customStyle="1" w:styleId="33">
    <w:name w:val="xl8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2"/>
      <w:szCs w:val="12"/>
    </w:rPr>
  </w:style>
  <w:style w:type="paragraph" w:customStyle="1" w:styleId="34">
    <w:name w:val="xl8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2"/>
      <w:szCs w:val="12"/>
    </w:rPr>
  </w:style>
  <w:style w:type="paragraph" w:customStyle="1" w:styleId="35">
    <w:name w:val="xl8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2"/>
      <w:szCs w:val="12"/>
    </w:rPr>
  </w:style>
  <w:style w:type="paragraph" w:customStyle="1" w:styleId="36">
    <w:name w:val="xl86"/>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jc w:val="center"/>
    </w:pPr>
    <w:rPr>
      <w:rFonts w:ascii="宋体" w:hAnsi="宋体" w:cs="宋体"/>
      <w:color w:val="000000"/>
      <w:kern w:val="0"/>
      <w:sz w:val="12"/>
      <w:szCs w:val="12"/>
    </w:rPr>
  </w:style>
  <w:style w:type="paragraph" w:customStyle="1" w:styleId="3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2"/>
      <w:szCs w:val="12"/>
    </w:rPr>
  </w:style>
  <w:style w:type="paragraph" w:customStyle="1" w:styleId="38">
    <w:name w:val="xl88"/>
    <w:basedOn w:val="1"/>
    <w:qFormat/>
    <w:uiPriority w:val="0"/>
    <w:pPr>
      <w:widowControl/>
      <w:pBdr>
        <w:right w:val="single" w:color="000000" w:sz="4" w:space="0"/>
      </w:pBdr>
      <w:spacing w:before="100" w:beforeAutospacing="1" w:after="100" w:afterAutospacing="1"/>
      <w:jc w:val="left"/>
    </w:pPr>
    <w:rPr>
      <w:rFonts w:ascii="宋体" w:hAnsi="宋体" w:cs="宋体"/>
      <w:kern w:val="0"/>
      <w:sz w:val="12"/>
      <w:szCs w:val="12"/>
    </w:rPr>
  </w:style>
  <w:style w:type="paragraph" w:customStyle="1" w:styleId="39">
    <w:name w:val="xl89"/>
    <w:basedOn w:val="1"/>
    <w:qFormat/>
    <w:uiPriority w:val="0"/>
    <w:pPr>
      <w:widowControl/>
      <w:spacing w:before="100" w:beforeAutospacing="1" w:after="100" w:afterAutospacing="1"/>
      <w:jc w:val="left"/>
    </w:pPr>
    <w:rPr>
      <w:rFonts w:ascii="宋体" w:hAnsi="宋体" w:cs="宋体"/>
      <w:kern w:val="0"/>
      <w:sz w:val="12"/>
      <w:szCs w:val="12"/>
    </w:rPr>
  </w:style>
  <w:style w:type="paragraph" w:customStyle="1" w:styleId="40">
    <w:name w:val="xl90"/>
    <w:basedOn w:val="1"/>
    <w:uiPriority w:val="0"/>
    <w:pPr>
      <w:widowControl/>
      <w:pBdr>
        <w:left w:val="single" w:color="000000" w:sz="4" w:space="0"/>
        <w:right w:val="single" w:color="000000" w:sz="4" w:space="0"/>
      </w:pBdr>
      <w:spacing w:before="100" w:beforeAutospacing="1" w:after="100" w:afterAutospacing="1"/>
      <w:jc w:val="left"/>
    </w:pPr>
    <w:rPr>
      <w:rFonts w:ascii="宋体" w:hAnsi="宋体" w:cs="宋体"/>
      <w:kern w:val="0"/>
      <w:sz w:val="12"/>
      <w:szCs w:val="12"/>
    </w:rPr>
  </w:style>
  <w:style w:type="paragraph" w:customStyle="1" w:styleId="41">
    <w:name w:val="xl91"/>
    <w:basedOn w:val="1"/>
    <w:qFormat/>
    <w:uiPriority w:val="0"/>
    <w:pPr>
      <w:widowControl/>
      <w:pBdr>
        <w:left w:val="single" w:color="000000" w:sz="4" w:space="0"/>
      </w:pBdr>
      <w:spacing w:before="100" w:beforeAutospacing="1" w:after="100" w:afterAutospacing="1"/>
      <w:jc w:val="left"/>
    </w:pPr>
    <w:rPr>
      <w:rFonts w:ascii="宋体" w:hAnsi="宋体" w:cs="宋体"/>
      <w:kern w:val="0"/>
      <w:sz w:val="12"/>
      <w:szCs w:val="12"/>
    </w:rPr>
  </w:style>
  <w:style w:type="paragraph" w:customStyle="1" w:styleId="42">
    <w:name w:val="xl92"/>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2"/>
      <w:szCs w:val="12"/>
    </w:rPr>
  </w:style>
  <w:style w:type="paragraph" w:customStyle="1" w:styleId="43">
    <w:name w:val="xl93"/>
    <w:basedOn w:val="1"/>
    <w:qFormat/>
    <w:uiPriority w:val="0"/>
    <w:pPr>
      <w:widowControl/>
      <w:spacing w:before="100" w:beforeAutospacing="1" w:after="100" w:afterAutospacing="1"/>
      <w:jc w:val="center"/>
    </w:pPr>
    <w:rPr>
      <w:rFonts w:ascii="宋体" w:hAnsi="宋体" w:cs="宋体"/>
      <w:b/>
      <w:bCs/>
      <w:kern w:val="0"/>
      <w:sz w:val="24"/>
    </w:rPr>
  </w:style>
  <w:style w:type="paragraph" w:customStyle="1" w:styleId="44">
    <w:name w:val="xl94"/>
    <w:basedOn w:val="1"/>
    <w:qFormat/>
    <w:uiPriority w:val="0"/>
    <w:pPr>
      <w:widowControl/>
      <w:spacing w:before="100" w:beforeAutospacing="1" w:after="100" w:afterAutospacing="1"/>
      <w:jc w:val="center"/>
      <w:textAlignment w:val="top"/>
    </w:pPr>
    <w:rPr>
      <w:rFonts w:ascii="宋体" w:hAnsi="宋体" w:cs="宋体"/>
      <w:b/>
      <w:bCs/>
      <w:kern w:val="0"/>
      <w:sz w:val="24"/>
    </w:rPr>
  </w:style>
  <w:style w:type="paragraph" w:customStyle="1" w:styleId="45">
    <w:name w:val="xl95"/>
    <w:basedOn w:val="1"/>
    <w:qFormat/>
    <w:uiPriority w:val="0"/>
    <w:pPr>
      <w:widowControl/>
      <w:spacing w:before="100" w:beforeAutospacing="1" w:after="100" w:afterAutospacing="1"/>
      <w:jc w:val="center"/>
    </w:pPr>
    <w:rPr>
      <w:rFonts w:ascii="宋体" w:hAnsi="宋体" w:cs="宋体"/>
      <w:b/>
      <w:bCs/>
      <w:kern w:val="0"/>
      <w:sz w:val="24"/>
    </w:rPr>
  </w:style>
  <w:style w:type="paragraph" w:customStyle="1" w:styleId="46">
    <w:name w:val="xl96"/>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cs="宋体"/>
      <w:b/>
      <w:bCs/>
      <w:color w:val="000000"/>
      <w:kern w:val="0"/>
      <w:sz w:val="24"/>
    </w:rPr>
  </w:style>
  <w:style w:type="paragraph" w:customStyle="1" w:styleId="47">
    <w:name w:val="xl9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b/>
      <w:bCs/>
      <w:color w:val="00000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1573</Words>
  <Characters>8970</Characters>
  <Lines>74</Lines>
  <Paragraphs>21</Paragraphs>
  <TotalTime>646</TotalTime>
  <ScaleCrop>false</ScaleCrop>
  <LinksUpToDate>false</LinksUpToDate>
  <CharactersWithSpaces>10522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2023-02-22T00:49:00Z</dcterms:created>
  <dc:creator>冯晓燕</dc:creator>
  <cp:lastModifiedBy>小尼姑</cp:lastModifiedBy>
  <dcterms:modified xsi:type="dcterms:W3CDTF">2023-10-16T09:34:45Z</dcterms:modified>
  <cp:revision>236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879A0C314987439BA774D2679E2924FA_13</vt:lpwstr>
  </property>
</Properties>
</file>